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18A" w:rsidRPr="00F00C01" w:rsidRDefault="003D618A" w:rsidP="003D618A">
      <w:pPr>
        <w:spacing w:after="0"/>
        <w:jc w:val="center"/>
        <w:rPr>
          <w:rFonts w:ascii="Times New Roman" w:eastAsiaTheme="minorHAnsi" w:hAnsi="Times New Roman" w:cstheme="minorBidi"/>
          <w:b/>
          <w:sz w:val="24"/>
          <w:szCs w:val="24"/>
          <w:lang w:eastAsia="fr-FR"/>
        </w:rPr>
      </w:pPr>
      <w:r w:rsidRPr="00F00C01">
        <w:rPr>
          <w:rFonts w:ascii="Times New Roman" w:eastAsiaTheme="minorHAnsi" w:hAnsi="Times New Roman" w:cstheme="minorBidi"/>
          <w:b/>
          <w:sz w:val="24"/>
          <w:szCs w:val="24"/>
          <w:lang w:eastAsia="fr-FR"/>
        </w:rPr>
        <w:t>Dynamique et Ecobiologie d’</w:t>
      </w:r>
      <w:r w:rsidRPr="00F00C01">
        <w:rPr>
          <w:rFonts w:ascii="Times New Roman" w:eastAsiaTheme="minorHAnsi" w:hAnsi="Times New Roman" w:cstheme="minorBidi"/>
          <w:b/>
          <w:i/>
          <w:sz w:val="24"/>
          <w:szCs w:val="24"/>
          <w:lang w:eastAsia="fr-FR"/>
        </w:rPr>
        <w:t>Alburnus alburnus</w:t>
      </w:r>
      <w:r w:rsidRPr="00F00C01">
        <w:rPr>
          <w:rFonts w:ascii="Times New Roman" w:eastAsiaTheme="minorHAnsi" w:hAnsi="Times New Roman" w:cstheme="minorBidi"/>
          <w:b/>
          <w:sz w:val="24"/>
          <w:szCs w:val="24"/>
          <w:lang w:eastAsia="fr-FR"/>
        </w:rPr>
        <w:t xml:space="preserve"> (Poisson Cyprinidae) dans le lac de barrage de Keddara (W. Boumerdes).</w:t>
      </w:r>
    </w:p>
    <w:p w:rsidR="003D618A" w:rsidRPr="00F00C01" w:rsidRDefault="003D618A" w:rsidP="003D618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0C01">
        <w:rPr>
          <w:rFonts w:ascii="Times New Roman" w:hAnsi="Times New Roman" w:cs="Times New Roman"/>
          <w:b/>
          <w:sz w:val="24"/>
          <w:szCs w:val="24"/>
        </w:rPr>
        <w:t>Résumé :</w:t>
      </w:r>
    </w:p>
    <w:p w:rsidR="00D23B88" w:rsidRPr="00F00C01" w:rsidRDefault="003D618A" w:rsidP="00DA4446">
      <w:pPr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F00C01">
        <w:rPr>
          <w:rFonts w:ascii="Times New Roman" w:hAnsi="Times New Roman" w:cs="Times New Roman"/>
          <w:sz w:val="24"/>
          <w:szCs w:val="24"/>
        </w:rPr>
        <w:t xml:space="preserve">La présente étude nous à permis d’évaluer et de suivre sur une période de 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>six ans soit 67</w:t>
      </w:r>
      <w:r w:rsidRPr="00F00C01">
        <w:rPr>
          <w:rFonts w:ascii="Times New Roman" w:hAnsi="Times New Roman" w:cs="Times New Roman"/>
          <w:sz w:val="24"/>
          <w:szCs w:val="24"/>
        </w:rPr>
        <w:t xml:space="preserve"> mois (juin 2006 - février 2012) la dynamique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 xml:space="preserve"> et l’éco-biologie</w:t>
      </w:r>
      <w:r w:rsidRPr="00F00C01">
        <w:rPr>
          <w:rFonts w:ascii="Times New Roman" w:hAnsi="Times New Roman" w:cs="Times New Roman"/>
          <w:sz w:val="24"/>
          <w:szCs w:val="24"/>
        </w:rPr>
        <w:t xml:space="preserve"> des populations de l’ablette (</w:t>
      </w:r>
      <w:r w:rsidRPr="00F00C01">
        <w:rPr>
          <w:rFonts w:ascii="Times New Roman" w:hAnsi="Times New Roman" w:cs="Times New Roman"/>
          <w:i/>
          <w:sz w:val="24"/>
          <w:szCs w:val="24"/>
        </w:rPr>
        <w:t>Alburnus alburnus </w:t>
      </w:r>
      <w:r w:rsidR="00D23B88">
        <w:rPr>
          <w:rFonts w:ascii="Times New Roman" w:hAnsi="Times New Roman" w:cs="Times New Roman"/>
          <w:sz w:val="24"/>
          <w:szCs w:val="24"/>
        </w:rPr>
        <w:t>; L.,</w:t>
      </w:r>
      <w:r w:rsidRPr="00F00C01">
        <w:rPr>
          <w:rFonts w:ascii="Times New Roman" w:hAnsi="Times New Roman" w:cs="Times New Roman"/>
          <w:sz w:val="24"/>
          <w:szCs w:val="24"/>
        </w:rPr>
        <w:t xml:space="preserve"> 1759) dans le lac de barrage de Keddara. </w:t>
      </w:r>
      <w:r w:rsidRPr="00F00C01">
        <w:rPr>
          <w:rFonts w:ascii="Times New Roman" w:hAnsi="Times New Roman" w:cs="Times New Roman"/>
          <w:bCs/>
          <w:sz w:val="24"/>
          <w:szCs w:val="24"/>
        </w:rPr>
        <w:t>Le lac du barrage de Keddara présente une faune ichtyologique appartenant à la famille des Cyprinidae représentée par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Pr="00F00C01">
        <w:rPr>
          <w:rFonts w:ascii="Times New Roman" w:eastAsiaTheme="minorHAnsi" w:hAnsi="Times New Roman" w:cs="Times New Roman"/>
          <w:i/>
          <w:sz w:val="24"/>
          <w:szCs w:val="24"/>
        </w:rPr>
        <w:t>Alburnus alburnus </w:t>
      </w:r>
      <w:r w:rsidR="00DA4446">
        <w:rPr>
          <w:rFonts w:ascii="Times New Roman" w:eastAsiaTheme="minorHAnsi" w:hAnsi="Times New Roman" w:cs="Times New Roman"/>
          <w:sz w:val="24"/>
          <w:szCs w:val="24"/>
        </w:rPr>
        <w:t xml:space="preserve"> (</w:t>
      </w:r>
      <w:r w:rsidR="00D23B88">
        <w:rPr>
          <w:rFonts w:ascii="Times New Roman" w:eastAsiaTheme="minorHAnsi" w:hAnsi="Times New Roman" w:cs="Times New Roman"/>
          <w:sz w:val="24"/>
          <w:szCs w:val="24"/>
        </w:rPr>
        <w:t>L.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 xml:space="preserve">, 1759), la Carpe (Genre : </w:t>
      </w:r>
      <w:r w:rsidRPr="00F00C01">
        <w:rPr>
          <w:rFonts w:ascii="Times New Roman" w:eastAsiaTheme="minorHAnsi" w:hAnsi="Times New Roman" w:cs="Times New Roman"/>
          <w:i/>
          <w:sz w:val="24"/>
          <w:szCs w:val="24"/>
        </w:rPr>
        <w:t>Cyprinus</w:t>
      </w:r>
      <w:r w:rsidR="00DA4446">
        <w:rPr>
          <w:rFonts w:ascii="Times New Roman" w:eastAsiaTheme="minorHAnsi" w:hAnsi="Times New Roman" w:cs="Times New Roman"/>
          <w:sz w:val="24"/>
          <w:szCs w:val="24"/>
        </w:rPr>
        <w:t>;</w:t>
      </w:r>
      <w:r w:rsidR="00D23B88">
        <w:rPr>
          <w:rFonts w:ascii="Times New Roman" w:eastAsiaTheme="minorHAnsi" w:hAnsi="Times New Roman" w:cs="Times New Roman"/>
          <w:sz w:val="24"/>
          <w:szCs w:val="24"/>
        </w:rPr>
        <w:t>L.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 xml:space="preserve">, 1759), </w:t>
      </w:r>
      <w:r w:rsidRPr="00514F99">
        <w:rPr>
          <w:rFonts w:ascii="Times New Roman" w:eastAsiaTheme="minorHAnsi" w:hAnsi="Times New Roman" w:cs="Times New Roman"/>
          <w:sz w:val="24"/>
          <w:szCs w:val="24"/>
        </w:rPr>
        <w:t xml:space="preserve">le 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 xml:space="preserve">Barbeau (Genre : </w:t>
      </w:r>
      <w:r w:rsidRPr="00F00C01">
        <w:rPr>
          <w:rFonts w:ascii="Times New Roman" w:eastAsiaTheme="minorHAnsi" w:hAnsi="Times New Roman" w:cs="Times New Roman"/>
          <w:i/>
          <w:sz w:val="24"/>
          <w:szCs w:val="24"/>
        </w:rPr>
        <w:t>Barbus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>),</w:t>
      </w:r>
      <w:r w:rsidRPr="00F00C01">
        <w:rPr>
          <w:rFonts w:ascii="Times New Roman" w:eastAsiaTheme="minorHAnsi" w:hAnsi="Times New Roman" w:cs="Times New Roman"/>
          <w:i/>
          <w:sz w:val="24"/>
          <w:szCs w:val="24"/>
        </w:rPr>
        <w:t>Carassius gebelio</w:t>
      </w:r>
      <w:r w:rsidR="00DA4446">
        <w:rPr>
          <w:rFonts w:ascii="Times New Roman" w:eastAsiaTheme="minorHAnsi" w:hAnsi="Times New Roman" w:cs="Times New Roman"/>
          <w:sz w:val="24"/>
          <w:szCs w:val="24"/>
        </w:rPr>
        <w:t> (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>BLOCH, 1782) et</w:t>
      </w:r>
      <w:r w:rsidR="00DA4446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Pr="00F00C01">
        <w:rPr>
          <w:rFonts w:ascii="Times New Roman" w:eastAsiaTheme="minorHAnsi" w:hAnsi="Times New Roman" w:cs="Times New Roman"/>
          <w:i/>
          <w:sz w:val="24"/>
          <w:szCs w:val="24"/>
        </w:rPr>
        <w:t>Rutilus rutilus</w:t>
      </w:r>
      <w:r w:rsidR="00D23B88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="00DA4446">
        <w:rPr>
          <w:rFonts w:ascii="Times New Roman" w:eastAsiaTheme="minorHAnsi" w:hAnsi="Times New Roman" w:cs="Times New Roman"/>
          <w:sz w:val="24"/>
          <w:szCs w:val="24"/>
        </w:rPr>
        <w:t>(</w:t>
      </w:r>
      <w:r w:rsidR="00D23B88">
        <w:rPr>
          <w:rFonts w:ascii="Times New Roman" w:eastAsiaTheme="minorHAnsi" w:hAnsi="Times New Roman" w:cs="Times New Roman"/>
          <w:sz w:val="24"/>
          <w:szCs w:val="24"/>
        </w:rPr>
        <w:t>L.</w:t>
      </w:r>
      <w:r w:rsidRPr="00F00C01">
        <w:rPr>
          <w:rFonts w:ascii="Times New Roman" w:eastAsiaTheme="minorHAnsi" w:hAnsi="Times New Roman" w:cs="Times New Roman"/>
          <w:sz w:val="24"/>
          <w:szCs w:val="24"/>
        </w:rPr>
        <w:t>, 1766).</w:t>
      </w:r>
      <w:r w:rsidR="00D23B88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="00DA4446">
        <w:rPr>
          <w:rFonts w:ascii="Times New Roman" w:eastAsiaTheme="minorHAnsi" w:hAnsi="Times New Roman" w:cs="Times New Roman"/>
          <w:bCs/>
          <w:sz w:val="24"/>
          <w:szCs w:val="24"/>
        </w:rPr>
        <w:t>L</w:t>
      </w:r>
      <w:r w:rsidR="00DA4446" w:rsidRPr="00DA4446">
        <w:rPr>
          <w:rFonts w:ascii="Times New Roman" w:eastAsiaTheme="minorHAnsi" w:hAnsi="Times New Roman" w:cs="Times New Roman"/>
          <w:bCs/>
          <w:sz w:val="24"/>
          <w:szCs w:val="24"/>
        </w:rPr>
        <w:t>es mé</w:t>
      </w:r>
      <w:r w:rsidR="00DA4446">
        <w:rPr>
          <w:rFonts w:ascii="Times New Roman" w:eastAsiaTheme="minorHAnsi" w:hAnsi="Times New Roman" w:cs="Times New Roman"/>
          <w:bCs/>
          <w:sz w:val="24"/>
          <w:szCs w:val="24"/>
        </w:rPr>
        <w:t xml:space="preserve">thodes biologiques sont </w:t>
      </w:r>
      <w:r w:rsidR="00DA4446" w:rsidRPr="00DA4446">
        <w:rPr>
          <w:rFonts w:ascii="Times New Roman" w:eastAsiaTheme="minorHAnsi" w:hAnsi="Times New Roman" w:cs="Times New Roman"/>
          <w:bCs/>
          <w:sz w:val="24"/>
          <w:szCs w:val="24"/>
        </w:rPr>
        <w:t>basées sur l’étude de la  croissance,</w:t>
      </w:r>
      <w:r w:rsidR="00DA4446">
        <w:rPr>
          <w:rFonts w:ascii="Times New Roman" w:eastAsiaTheme="minorHAnsi" w:hAnsi="Times New Roman" w:cs="Times New Roman"/>
          <w:bCs/>
          <w:sz w:val="24"/>
          <w:szCs w:val="24"/>
        </w:rPr>
        <w:t xml:space="preserve"> reproduction, </w:t>
      </w:r>
      <w:r w:rsidR="00DA4446" w:rsidRPr="00DA4446">
        <w:rPr>
          <w:rFonts w:ascii="Times New Roman" w:eastAsiaTheme="minorHAnsi" w:hAnsi="Times New Roman" w:cs="Times New Roman"/>
          <w:bCs/>
          <w:sz w:val="24"/>
          <w:szCs w:val="24"/>
        </w:rPr>
        <w:t>l’activité alimentaire</w:t>
      </w:r>
      <w:r w:rsidR="00DA4446">
        <w:rPr>
          <w:rFonts w:ascii="Times New Roman" w:eastAsiaTheme="minorHAnsi" w:hAnsi="Times New Roman" w:cs="Times New Roman"/>
          <w:bCs/>
          <w:sz w:val="24"/>
          <w:szCs w:val="24"/>
        </w:rPr>
        <w:t xml:space="preserve"> et </w:t>
      </w:r>
      <w:r w:rsidR="00DA4446" w:rsidRPr="00DA4446">
        <w:rPr>
          <w:rFonts w:ascii="Times New Roman" w:eastAsiaTheme="minorHAnsi" w:hAnsi="Times New Roman" w:cs="Times New Roman"/>
          <w:bCs/>
          <w:sz w:val="24"/>
          <w:szCs w:val="24"/>
        </w:rPr>
        <w:t>analyses des données</w:t>
      </w:r>
      <w:r w:rsidR="00DA4446">
        <w:rPr>
          <w:rFonts w:ascii="Times New Roman" w:eastAsiaTheme="minorHAnsi" w:hAnsi="Times New Roman" w:cs="Times New Roman"/>
          <w:bCs/>
          <w:sz w:val="24"/>
          <w:szCs w:val="24"/>
        </w:rPr>
        <w:t xml:space="preserve"> descriptive, multidimensionnelles et </w:t>
      </w:r>
      <w:r w:rsidR="00DA4446" w:rsidRPr="00283A22">
        <w:rPr>
          <w:rFonts w:ascii="Times New Roman" w:hAnsi="Times New Roman" w:cs="Times New Roman"/>
          <w:sz w:val="24"/>
          <w:szCs w:val="24"/>
        </w:rPr>
        <w:t>prédictives</w:t>
      </w:r>
      <w:r w:rsidR="00DA4446">
        <w:rPr>
          <w:rFonts w:ascii="Times New Roman" w:hAnsi="Times New Roman" w:cs="Times New Roman"/>
          <w:sz w:val="24"/>
          <w:szCs w:val="24"/>
        </w:rPr>
        <w:t>.</w:t>
      </w:r>
    </w:p>
    <w:p w:rsidR="003D618A" w:rsidRPr="00F00C01" w:rsidRDefault="003D618A" w:rsidP="003D618A">
      <w:pPr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fr-FR"/>
        </w:rPr>
      </w:pPr>
    </w:p>
    <w:p w:rsidR="003D618A" w:rsidRPr="00F00C01" w:rsidRDefault="003D618A" w:rsidP="003D618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fr-FR"/>
        </w:rPr>
      </w:pPr>
      <w:r w:rsidRPr="00F00C01">
        <w:rPr>
          <w:rFonts w:ascii="Times New Roman" w:eastAsiaTheme="minorHAnsi" w:hAnsi="Times New Roman" w:cs="Times New Roman"/>
          <w:b/>
          <w:bCs/>
          <w:sz w:val="24"/>
          <w:szCs w:val="24"/>
          <w:lang w:eastAsia="fr-FR"/>
        </w:rPr>
        <w:t>Mots clés</w:t>
      </w:r>
      <w:r w:rsidRPr="00F00C01">
        <w:rPr>
          <w:rFonts w:ascii="Times New Roman" w:eastAsiaTheme="minorHAnsi" w:hAnsi="Times New Roman" w:cs="Times New Roman"/>
          <w:sz w:val="24"/>
          <w:szCs w:val="24"/>
          <w:lang w:eastAsia="fr-FR"/>
        </w:rPr>
        <w:t xml:space="preserve"> : </w:t>
      </w:r>
      <w:r w:rsidRPr="00F00C01">
        <w:rPr>
          <w:rFonts w:ascii="Times New Roman" w:eastAsiaTheme="minorHAnsi" w:hAnsi="Times New Roman" w:cs="Times New Roman"/>
          <w:i/>
          <w:iCs/>
          <w:sz w:val="24"/>
          <w:szCs w:val="24"/>
          <w:lang w:eastAsia="fr-FR"/>
        </w:rPr>
        <w:t>Alburnus alburnus,</w:t>
      </w:r>
      <w:r w:rsidRPr="00F00C01">
        <w:rPr>
          <w:rFonts w:ascii="Times New Roman" w:eastAsiaTheme="minorHAnsi" w:hAnsi="Times New Roman" w:cs="Times New Roman"/>
          <w:sz w:val="24"/>
          <w:szCs w:val="24"/>
          <w:lang w:eastAsia="fr-FR"/>
        </w:rPr>
        <w:t xml:space="preserve"> système lacustre, croissance, reproduction, activité alimentaire, croissance, série chronologie analyse multi-varié</w:t>
      </w:r>
      <w:r>
        <w:rPr>
          <w:rFonts w:ascii="Times New Roman" w:eastAsiaTheme="minorHAnsi" w:hAnsi="Times New Roman" w:cs="Times New Roman"/>
          <w:sz w:val="24"/>
          <w:szCs w:val="24"/>
          <w:lang w:eastAsia="fr-FR"/>
        </w:rPr>
        <w:t>e</w:t>
      </w:r>
      <w:r w:rsidRPr="00F00C01">
        <w:rPr>
          <w:rFonts w:ascii="Times New Roman" w:eastAsiaTheme="minorHAnsi" w:hAnsi="Times New Roman" w:cs="Times New Roman"/>
          <w:sz w:val="24"/>
          <w:szCs w:val="24"/>
          <w:lang w:eastAsia="fr-FR"/>
        </w:rPr>
        <w:t>.</w:t>
      </w:r>
    </w:p>
    <w:p w:rsidR="005F05D7" w:rsidRDefault="005F05D7"/>
    <w:sectPr w:rsidR="005F05D7" w:rsidSect="000B7319">
      <w:footerReference w:type="default" r:id="rId6"/>
      <w:pgSz w:w="11906" w:h="16838"/>
      <w:pgMar w:top="1417" w:right="1417" w:bottom="1417" w:left="1417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F24" w:rsidRDefault="00C90F24" w:rsidP="000B7319">
      <w:pPr>
        <w:spacing w:after="0" w:line="240" w:lineRule="auto"/>
      </w:pPr>
      <w:r>
        <w:separator/>
      </w:r>
    </w:p>
  </w:endnote>
  <w:endnote w:type="continuationSeparator" w:id="1">
    <w:p w:rsidR="00C90F24" w:rsidRDefault="00C90F24" w:rsidP="000B73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29170"/>
      <w:docPartObj>
        <w:docPartGallery w:val="Page Numbers (Bottom of Page)"/>
        <w:docPartUnique/>
      </w:docPartObj>
    </w:sdtPr>
    <w:sdtContent>
      <w:p w:rsidR="000B7319" w:rsidRDefault="00E5704D">
        <w:pPr>
          <w:pStyle w:val="Pieddepage"/>
          <w:jc w:val="right"/>
        </w:pPr>
        <w:fldSimple w:instr=" PAGE   \* MERGEFORMAT ">
          <w:r w:rsidR="00DA4446">
            <w:rPr>
              <w:noProof/>
            </w:rPr>
            <w:t>i</w:t>
          </w:r>
        </w:fldSimple>
      </w:p>
    </w:sdtContent>
  </w:sdt>
  <w:p w:rsidR="000B7319" w:rsidRDefault="000B731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F24" w:rsidRDefault="00C90F24" w:rsidP="000B7319">
      <w:pPr>
        <w:spacing w:after="0" w:line="240" w:lineRule="auto"/>
      </w:pPr>
      <w:r>
        <w:separator/>
      </w:r>
    </w:p>
  </w:footnote>
  <w:footnote w:type="continuationSeparator" w:id="1">
    <w:p w:rsidR="00C90F24" w:rsidRDefault="00C90F24" w:rsidP="000B73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618A"/>
    <w:rsid w:val="000B7319"/>
    <w:rsid w:val="000E6522"/>
    <w:rsid w:val="001473C9"/>
    <w:rsid w:val="00263EA8"/>
    <w:rsid w:val="003340C3"/>
    <w:rsid w:val="003D618A"/>
    <w:rsid w:val="00452A7D"/>
    <w:rsid w:val="005F05D7"/>
    <w:rsid w:val="00670F9E"/>
    <w:rsid w:val="00721DAD"/>
    <w:rsid w:val="00781E9A"/>
    <w:rsid w:val="007F12AC"/>
    <w:rsid w:val="008857E7"/>
    <w:rsid w:val="00B109F8"/>
    <w:rsid w:val="00B81FC9"/>
    <w:rsid w:val="00BA0D2D"/>
    <w:rsid w:val="00C90F24"/>
    <w:rsid w:val="00D00536"/>
    <w:rsid w:val="00D05D28"/>
    <w:rsid w:val="00D23B88"/>
    <w:rsid w:val="00D769F0"/>
    <w:rsid w:val="00DA4446"/>
    <w:rsid w:val="00E13F4F"/>
    <w:rsid w:val="00E570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618A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B73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B7319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0B73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B7319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150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dcterms:created xsi:type="dcterms:W3CDTF">2013-11-01T14:18:00Z</dcterms:created>
  <dcterms:modified xsi:type="dcterms:W3CDTF">2014-04-28T09:16:00Z</dcterms:modified>
</cp:coreProperties>
</file>