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1ED0" w:rsidRPr="00D5526C" w:rsidRDefault="00FC1ED0" w:rsidP="00FC1ED0">
      <w:pPr>
        <w:spacing w:line="360" w:lineRule="auto"/>
        <w:rPr>
          <w:b/>
          <w:bCs/>
          <w:sz w:val="24"/>
          <w:szCs w:val="24"/>
        </w:rPr>
      </w:pPr>
      <w:r w:rsidRPr="00D5526C">
        <w:rPr>
          <w:b/>
          <w:bCs/>
          <w:sz w:val="24"/>
          <w:szCs w:val="24"/>
        </w:rPr>
        <w:t>R</w:t>
      </w:r>
      <w:r>
        <w:rPr>
          <w:b/>
          <w:bCs/>
          <w:sz w:val="24"/>
          <w:szCs w:val="24"/>
        </w:rPr>
        <w:t>ESUME</w:t>
      </w:r>
      <w:r w:rsidR="00DC5B10">
        <w:rPr>
          <w:b/>
          <w:bCs/>
          <w:sz w:val="24"/>
          <w:szCs w:val="24"/>
        </w:rPr>
        <w:t xml:space="preserve"> DU RESUME</w:t>
      </w:r>
    </w:p>
    <w:p w:rsidR="00D607B4" w:rsidRDefault="00FC1ED0" w:rsidP="00FC1ED0">
      <w:pPr>
        <w:autoSpaceDE w:val="0"/>
        <w:autoSpaceDN w:val="0"/>
        <w:adjustRightInd w:val="0"/>
        <w:spacing w:after="200"/>
        <w:jc w:val="both"/>
        <w:rPr>
          <w:color w:val="000000"/>
          <w:sz w:val="24"/>
          <w:szCs w:val="24"/>
        </w:rPr>
      </w:pPr>
      <w:r w:rsidRPr="008E663F">
        <w:rPr>
          <w:color w:val="000000"/>
          <w:sz w:val="24"/>
          <w:szCs w:val="24"/>
        </w:rPr>
        <w:t xml:space="preserve">La sévérité  et le mauvais pronostic de l'insuffisance cardiaque sont corrélés aux taux de catécholamines circulantes. Une libération excessive de ces médiateurs sympathomimétiques, induit des dommages tissulaires considérables. </w:t>
      </w:r>
    </w:p>
    <w:p w:rsidR="00D607B4" w:rsidRDefault="00FC1ED0" w:rsidP="00FC1ED0">
      <w:pPr>
        <w:autoSpaceDE w:val="0"/>
        <w:autoSpaceDN w:val="0"/>
        <w:adjustRightInd w:val="0"/>
        <w:spacing w:after="200"/>
        <w:jc w:val="both"/>
        <w:rPr>
          <w:color w:val="000000"/>
          <w:sz w:val="24"/>
          <w:szCs w:val="24"/>
        </w:rPr>
      </w:pPr>
      <w:r w:rsidRPr="008E663F">
        <w:rPr>
          <w:color w:val="000000"/>
          <w:sz w:val="24"/>
          <w:szCs w:val="24"/>
        </w:rPr>
        <w:t xml:space="preserve">Notre étude a porté sur l’implication du stress oxydatif et du dysfonctionnement mitochondrial, dans la </w:t>
      </w:r>
      <w:proofErr w:type="spellStart"/>
      <w:r w:rsidRPr="008E663F">
        <w:rPr>
          <w:color w:val="000000"/>
          <w:sz w:val="24"/>
          <w:szCs w:val="24"/>
        </w:rPr>
        <w:t>cardiotoxicité</w:t>
      </w:r>
      <w:proofErr w:type="spellEnd"/>
      <w:r w:rsidRPr="008E663F">
        <w:rPr>
          <w:color w:val="000000"/>
          <w:sz w:val="24"/>
          <w:szCs w:val="24"/>
        </w:rPr>
        <w:t xml:space="preserve"> de l’</w:t>
      </w:r>
      <w:proofErr w:type="spellStart"/>
      <w:r w:rsidRPr="008E663F">
        <w:rPr>
          <w:color w:val="000000"/>
          <w:sz w:val="24"/>
          <w:szCs w:val="24"/>
        </w:rPr>
        <w:t>isoprénaline</w:t>
      </w:r>
      <w:proofErr w:type="spellEnd"/>
      <w:r w:rsidRPr="008E663F">
        <w:rPr>
          <w:color w:val="000000"/>
          <w:sz w:val="24"/>
          <w:szCs w:val="24"/>
        </w:rPr>
        <w:t xml:space="preserve"> (ISO), catécholamine de synthèse et agoniste des récepteurs β- adrénergiques chez le rat </w:t>
      </w:r>
      <w:proofErr w:type="spellStart"/>
      <w:r w:rsidRPr="008E663F">
        <w:rPr>
          <w:color w:val="000000"/>
          <w:sz w:val="24"/>
          <w:szCs w:val="24"/>
        </w:rPr>
        <w:t>Wistar</w:t>
      </w:r>
      <w:proofErr w:type="spellEnd"/>
      <w:r w:rsidRPr="008E663F">
        <w:rPr>
          <w:color w:val="000000"/>
          <w:sz w:val="24"/>
          <w:szCs w:val="24"/>
        </w:rPr>
        <w:t>. Les effets de quatre molécules pharmacologiques</w:t>
      </w:r>
      <w:r w:rsidR="00D607B4">
        <w:rPr>
          <w:color w:val="000000"/>
          <w:sz w:val="24"/>
          <w:szCs w:val="24"/>
        </w:rPr>
        <w:t xml:space="preserve"> (curcumine, N acétylcystéine, allopurinol et cyclosporine)</w:t>
      </w:r>
      <w:r w:rsidRPr="008E663F">
        <w:rPr>
          <w:color w:val="000000"/>
          <w:sz w:val="24"/>
          <w:szCs w:val="24"/>
        </w:rPr>
        <w:t xml:space="preserve"> ont été explorés au niveau histologique et moléculaire. </w:t>
      </w:r>
    </w:p>
    <w:p w:rsidR="00FC1ED0" w:rsidRPr="008E663F" w:rsidRDefault="00FC1ED0" w:rsidP="00FC1ED0">
      <w:pPr>
        <w:autoSpaceDE w:val="0"/>
        <w:autoSpaceDN w:val="0"/>
        <w:adjustRightInd w:val="0"/>
        <w:spacing w:after="200"/>
        <w:jc w:val="both"/>
        <w:rPr>
          <w:color w:val="000000"/>
          <w:sz w:val="24"/>
          <w:szCs w:val="24"/>
        </w:rPr>
      </w:pPr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>L’ISO (150 mg/Kg) administrée par voie sous cutanée (</w:t>
      </w:r>
      <w:proofErr w:type="spellStart"/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>sc</w:t>
      </w:r>
      <w:proofErr w:type="spellEnd"/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) induit des dommages macroscopiques et microscopiques caractérisés par une hypertrophie, des plages nécrotiques </w:t>
      </w:r>
      <w:r w:rsidRPr="008E663F">
        <w:rPr>
          <w:color w:val="000000"/>
          <w:sz w:val="24"/>
          <w:szCs w:val="24"/>
        </w:rPr>
        <w:t>associés à un œdème interstitiel, une infiltration leucocytaire et une apoptose.</w:t>
      </w:r>
    </w:p>
    <w:p w:rsidR="00FC1ED0" w:rsidRPr="008E663F" w:rsidRDefault="00FC1ED0" w:rsidP="00FC1ED0">
      <w:pPr>
        <w:autoSpaceDE w:val="0"/>
        <w:autoSpaceDN w:val="0"/>
        <w:adjustRightInd w:val="0"/>
        <w:spacing w:after="200"/>
        <w:jc w:val="both"/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</w:pPr>
      <w:r w:rsidRPr="008E663F">
        <w:rPr>
          <w:color w:val="000000"/>
          <w:sz w:val="24"/>
          <w:szCs w:val="24"/>
        </w:rPr>
        <w:t xml:space="preserve">La toxicité de l’ISO se traduit par un déséquilibre de la balance redox dans le cœur et le plasma. L’activité </w:t>
      </w:r>
      <w:proofErr w:type="spellStart"/>
      <w:r w:rsidRPr="008E663F">
        <w:rPr>
          <w:color w:val="000000"/>
          <w:sz w:val="24"/>
          <w:szCs w:val="24"/>
        </w:rPr>
        <w:t>myéloperoxydase</w:t>
      </w:r>
      <w:proofErr w:type="spellEnd"/>
      <w:r w:rsidRPr="008E663F">
        <w:rPr>
          <w:color w:val="000000"/>
          <w:sz w:val="24"/>
          <w:szCs w:val="24"/>
        </w:rPr>
        <w:t xml:space="preserve"> (MPO), les taux </w:t>
      </w:r>
      <w:r w:rsidR="00D607B4">
        <w:rPr>
          <w:color w:val="000000"/>
          <w:sz w:val="24"/>
          <w:szCs w:val="24"/>
        </w:rPr>
        <w:t>de MDA, d’acide urique et de NO</w:t>
      </w:r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 sont augmentés. En parallèle, les taux des marqueurs du système antioxydant, glutathion réduit et activité catalase sont diminués.</w:t>
      </w:r>
    </w:p>
    <w:p w:rsidR="00FC1ED0" w:rsidRPr="008E663F" w:rsidRDefault="00FC1ED0" w:rsidP="00FC1ED0">
      <w:pPr>
        <w:autoSpaceDE w:val="0"/>
        <w:autoSpaceDN w:val="0"/>
        <w:adjustRightInd w:val="0"/>
        <w:spacing w:after="200"/>
        <w:contextualSpacing/>
        <w:jc w:val="both"/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</w:pPr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L’ISO induit un dysfonctionnement mitochondrial qui se traduit par une altération des capacités oxydatives et de </w:t>
      </w:r>
      <w:r w:rsidR="00D607B4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la perméabilité mitochondriales et </w:t>
      </w:r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>n’altère pas l’expression des protéines</w:t>
      </w:r>
      <w:r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 </w:t>
      </w:r>
      <w:r>
        <w:rPr>
          <w:rFonts w:ascii="TimesNewRoman" w:eastAsia="Calibri" w:hAnsi="TimesNewRoman" w:cs="TimesNewRoman"/>
          <w:color w:val="FF0000"/>
          <w:sz w:val="24"/>
          <w:szCs w:val="24"/>
          <w:lang w:eastAsia="en-US"/>
        </w:rPr>
        <w:t xml:space="preserve"> </w:t>
      </w:r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>impliquées dans la biogenèse, la dynamique et la fonction mitochondriale. Cependant, elle augmente la</w:t>
      </w:r>
      <w:r w:rsidRPr="008E663F">
        <w:rPr>
          <w:rFonts w:ascii="TimesNewRoman" w:hAnsi="TimesNewRoman" w:cs="TimesNewRoman"/>
          <w:color w:val="000000"/>
          <w:sz w:val="24"/>
          <w:szCs w:val="24"/>
        </w:rPr>
        <w:t xml:space="preserve"> phosphorylation de DRP1 qui joue un rôle dans la fission, un événement  </w:t>
      </w:r>
      <w:proofErr w:type="spellStart"/>
      <w:r w:rsidRPr="008E663F">
        <w:rPr>
          <w:rFonts w:ascii="TimesNewRoman" w:hAnsi="TimesNewRoman" w:cs="TimesNewRoman"/>
          <w:color w:val="000000"/>
          <w:sz w:val="24"/>
          <w:szCs w:val="24"/>
        </w:rPr>
        <w:t>apoptotique</w:t>
      </w:r>
      <w:proofErr w:type="spellEnd"/>
      <w:r w:rsidRPr="008E663F">
        <w:rPr>
          <w:rFonts w:ascii="TimesNewRoman" w:hAnsi="TimesNewRoman" w:cs="TimesNewRoman"/>
          <w:color w:val="000000"/>
          <w:sz w:val="24"/>
          <w:szCs w:val="24"/>
        </w:rPr>
        <w:t xml:space="preserve"> précoce.</w:t>
      </w:r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 </w:t>
      </w:r>
    </w:p>
    <w:p w:rsidR="00FC1ED0" w:rsidRPr="008E663F" w:rsidRDefault="00FC1ED0" w:rsidP="00FC1ED0">
      <w:pPr>
        <w:autoSpaceDE w:val="0"/>
        <w:autoSpaceDN w:val="0"/>
        <w:adjustRightInd w:val="0"/>
        <w:jc w:val="both"/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</w:pPr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La CUR, la NAC, l’Allo et la </w:t>
      </w:r>
      <w:proofErr w:type="spellStart"/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>CysA</w:t>
      </w:r>
      <w:proofErr w:type="spellEnd"/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 restaurent la balance redox et atténuent les dommages tissulaires. La CUR corrige la fonction des complexes de la chaine respiratoire et la perméabilité mitochondriale.</w:t>
      </w:r>
    </w:p>
    <w:p w:rsidR="00FC1ED0" w:rsidRPr="008E663F" w:rsidRDefault="00FC1ED0" w:rsidP="00FC1ED0">
      <w:pPr>
        <w:autoSpaceDE w:val="0"/>
        <w:autoSpaceDN w:val="0"/>
        <w:adjustRightInd w:val="0"/>
        <w:jc w:val="both"/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</w:pPr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De la même manière, la curcumine prévient l’ouverture du pore de transition de </w:t>
      </w:r>
      <w:proofErr w:type="spellStart"/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>pérméabilité</w:t>
      </w:r>
      <w:proofErr w:type="spellEnd"/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 mitochon</w:t>
      </w:r>
      <w:r w:rsidR="00D607B4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>drial (</w:t>
      </w:r>
      <w:proofErr w:type="spellStart"/>
      <w:r w:rsidR="00D607B4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>mPTP</w:t>
      </w:r>
      <w:proofErr w:type="spellEnd"/>
      <w:r w:rsidR="00D607B4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>), calcium dépendant</w:t>
      </w:r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 indépendamment de la dynamique et de la biogenèse mitochondriale.</w:t>
      </w:r>
    </w:p>
    <w:p w:rsidR="00FC1ED0" w:rsidRPr="008E663F" w:rsidRDefault="00FC1ED0" w:rsidP="00FC1ED0">
      <w:pPr>
        <w:autoSpaceDE w:val="0"/>
        <w:autoSpaceDN w:val="0"/>
        <w:adjustRightInd w:val="0"/>
        <w:jc w:val="both"/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</w:pPr>
    </w:p>
    <w:p w:rsidR="00FC1ED0" w:rsidRPr="008E663F" w:rsidRDefault="00FC1ED0" w:rsidP="00FC1ED0">
      <w:pPr>
        <w:autoSpaceDE w:val="0"/>
        <w:autoSpaceDN w:val="0"/>
        <w:adjustRightInd w:val="0"/>
        <w:jc w:val="both"/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</w:pPr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L’ensemble des ces résultats souligne d’une part l’importance du dysfonctionnement mitochondrial dans la </w:t>
      </w:r>
      <w:proofErr w:type="spellStart"/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>cardiotoxocité</w:t>
      </w:r>
      <w:proofErr w:type="spellEnd"/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 des catécholamines et d’autre part le rôle de la curcumine dans la prévention des altérations mitochondriales et de l’ouverture du </w:t>
      </w:r>
      <w:proofErr w:type="spellStart"/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>mPTP</w:t>
      </w:r>
      <w:proofErr w:type="spellEnd"/>
      <w:r w:rsidRPr="008E663F">
        <w:rPr>
          <w:rFonts w:ascii="TimesNewRoman" w:eastAsia="Calibri" w:hAnsi="TimesNewRoman" w:cs="TimesNewRoman"/>
          <w:color w:val="000000"/>
          <w:sz w:val="24"/>
          <w:szCs w:val="24"/>
          <w:lang w:eastAsia="en-US"/>
        </w:rPr>
        <w:t xml:space="preserve">.    </w:t>
      </w:r>
    </w:p>
    <w:p w:rsidR="00FC1ED0" w:rsidRPr="008E663F" w:rsidRDefault="00FC1ED0" w:rsidP="00FC1ED0">
      <w:pPr>
        <w:autoSpaceDE w:val="0"/>
        <w:autoSpaceDN w:val="0"/>
        <w:adjustRightInd w:val="0"/>
        <w:jc w:val="both"/>
        <w:rPr>
          <w:rFonts w:ascii="TimesNewRoman" w:eastAsia="Calibri" w:hAnsi="TimesNewRoman" w:cs="TimesNewRoman"/>
          <w:color w:val="000000"/>
          <w:lang w:eastAsia="en-US"/>
        </w:rPr>
      </w:pPr>
      <w:r w:rsidRPr="008E663F">
        <w:rPr>
          <w:rFonts w:ascii="TimesNewRoman" w:eastAsia="Calibri" w:hAnsi="TimesNewRoman" w:cs="TimesNewRoman"/>
          <w:color w:val="000000"/>
          <w:lang w:eastAsia="en-US"/>
        </w:rPr>
        <w:t xml:space="preserve"> </w:t>
      </w:r>
    </w:p>
    <w:p w:rsidR="008F558E" w:rsidRDefault="008F558E"/>
    <w:sectPr w:rsidR="008F558E" w:rsidSect="008F55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8070000" w:usb2="00000010" w:usb3="00000000" w:csb0="00020009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isplayBackgroundShape/>
  <w:proofState w:spelling="clean" w:grammar="clean"/>
  <w:defaultTabStop w:val="708"/>
  <w:hyphenationZone w:val="425"/>
  <w:characterSpacingControl w:val="doNotCompress"/>
  <w:compat/>
  <w:rsids>
    <w:rsidRoot w:val="00FC1ED0"/>
    <w:rsid w:val="003D38F0"/>
    <w:rsid w:val="008F558E"/>
    <w:rsid w:val="009F101F"/>
    <w:rsid w:val="00D607B4"/>
    <w:rsid w:val="00DC5B10"/>
    <w:rsid w:val="00FC1E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1E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FC1E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346</Words>
  <Characters>1904</Characters>
  <Application>Microsoft Office Word</Application>
  <DocSecurity>0</DocSecurity>
  <Lines>15</Lines>
  <Paragraphs>4</Paragraphs>
  <ScaleCrop>false</ScaleCrop>
  <Company>Hewlett-Packard Company</Company>
  <LinksUpToDate>false</LinksUpToDate>
  <CharactersWithSpaces>2246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Malika IZEM</dc:creator>
  <cp:lastModifiedBy>Enigma</cp:lastModifiedBy>
  <cp:revision>3</cp:revision>
  <dcterms:created xsi:type="dcterms:W3CDTF">2012-11-05T18:04:00Z</dcterms:created>
  <dcterms:modified xsi:type="dcterms:W3CDTF">2012-11-07T11:00:00Z</dcterms:modified>
</cp:coreProperties>
</file>