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55C8" w:rsidRDefault="004B55C8"/>
    <w:p w:rsidR="004B55C8" w:rsidRPr="00DF0E45" w:rsidRDefault="004B55C8" w:rsidP="004B55C8">
      <w:pPr>
        <w:pBdr>
          <w:top w:val="single" w:sz="4" w:space="0" w:color="auto"/>
          <w:left w:val="single" w:sz="4" w:space="4" w:color="auto"/>
          <w:bottom w:val="single" w:sz="4" w:space="1" w:color="auto"/>
          <w:right w:val="single" w:sz="4" w:space="4" w:color="auto"/>
        </w:pBdr>
        <w:ind w:left="-426" w:firstLine="426"/>
        <w:jc w:val="center"/>
        <w:rPr>
          <w:rFonts w:ascii="Times New Roman" w:eastAsiaTheme="minorHAnsi" w:hAnsi="Times New Roman" w:cs="Times New Roman"/>
          <w:b/>
          <w:sz w:val="28"/>
          <w:szCs w:val="28"/>
          <w:u w:val="single"/>
        </w:rPr>
      </w:pPr>
      <w:r w:rsidRPr="00DF0E45">
        <w:rPr>
          <w:rFonts w:ascii="Times New Roman" w:eastAsiaTheme="minorHAnsi" w:hAnsi="Times New Roman" w:cs="Times New Roman"/>
          <w:b/>
          <w:sz w:val="28"/>
          <w:szCs w:val="28"/>
          <w:u w:val="single"/>
        </w:rPr>
        <w:t>RESUME</w:t>
      </w:r>
    </w:p>
    <w:p w:rsidR="004B55C8" w:rsidRPr="004B55C8" w:rsidRDefault="004B55C8" w:rsidP="004B55C8"/>
    <w:p w:rsidR="004B55C8" w:rsidRPr="004B55C8" w:rsidRDefault="004B55C8" w:rsidP="004B55C8">
      <w:pPr>
        <w:pBdr>
          <w:top w:val="single" w:sz="4" w:space="0" w:color="auto"/>
          <w:left w:val="single" w:sz="4" w:space="4" w:color="auto"/>
          <w:bottom w:val="single" w:sz="4" w:space="1" w:color="auto"/>
          <w:right w:val="single" w:sz="4" w:space="4" w:color="auto"/>
        </w:pBdr>
        <w:spacing w:line="360" w:lineRule="auto"/>
        <w:jc w:val="both"/>
        <w:rPr>
          <w:rFonts w:ascii="Times New Roman" w:eastAsiaTheme="minorHAnsi" w:hAnsi="Times New Roman" w:cs="Times New Roman"/>
          <w:sz w:val="28"/>
          <w:szCs w:val="28"/>
        </w:rPr>
      </w:pPr>
      <w:r w:rsidRPr="004B55C8">
        <w:rPr>
          <w:rFonts w:ascii="Times New Roman" w:eastAsiaTheme="minorHAnsi" w:hAnsi="Times New Roman" w:cs="Times New Roman"/>
          <w:sz w:val="28"/>
          <w:szCs w:val="28"/>
        </w:rPr>
        <w:t xml:space="preserve">Le Syndrome de </w:t>
      </w:r>
      <w:proofErr w:type="spellStart"/>
      <w:r w:rsidRPr="004B55C8">
        <w:rPr>
          <w:rFonts w:ascii="Times New Roman" w:eastAsiaTheme="minorHAnsi" w:hAnsi="Times New Roman" w:cs="Times New Roman"/>
          <w:sz w:val="28"/>
          <w:szCs w:val="28"/>
        </w:rPr>
        <w:t>Gougerot</w:t>
      </w:r>
      <w:proofErr w:type="spellEnd"/>
      <w:r w:rsidRPr="004B55C8">
        <w:rPr>
          <w:rFonts w:ascii="Times New Roman" w:eastAsiaTheme="minorHAnsi" w:hAnsi="Times New Roman" w:cs="Times New Roman"/>
          <w:sz w:val="28"/>
          <w:szCs w:val="28"/>
        </w:rPr>
        <w:t>-</w:t>
      </w:r>
      <w:proofErr w:type="spellStart"/>
      <w:r w:rsidRPr="004B55C8">
        <w:rPr>
          <w:rFonts w:ascii="Times New Roman" w:eastAsiaTheme="minorHAnsi" w:hAnsi="Times New Roman" w:cs="Times New Roman"/>
          <w:sz w:val="28"/>
          <w:szCs w:val="28"/>
        </w:rPr>
        <w:t>Sjögren</w:t>
      </w:r>
      <w:proofErr w:type="spellEnd"/>
      <w:r w:rsidRPr="004B55C8">
        <w:rPr>
          <w:rFonts w:ascii="Times New Roman" w:eastAsiaTheme="minorHAnsi" w:hAnsi="Times New Roman" w:cs="Times New Roman"/>
          <w:sz w:val="28"/>
          <w:szCs w:val="28"/>
        </w:rPr>
        <w:t xml:space="preserve"> (SGS) est une </w:t>
      </w:r>
      <w:proofErr w:type="spellStart"/>
      <w:r w:rsidRPr="004B55C8">
        <w:rPr>
          <w:rFonts w:ascii="Times New Roman" w:eastAsiaTheme="minorHAnsi" w:hAnsi="Times New Roman" w:cs="Times New Roman"/>
          <w:sz w:val="28"/>
          <w:szCs w:val="28"/>
        </w:rPr>
        <w:t>exocrinopathie</w:t>
      </w:r>
      <w:proofErr w:type="spellEnd"/>
      <w:r w:rsidRPr="004B55C8">
        <w:rPr>
          <w:rFonts w:ascii="Times New Roman" w:eastAsiaTheme="minorHAnsi" w:hAnsi="Times New Roman" w:cs="Times New Roman"/>
          <w:sz w:val="28"/>
          <w:szCs w:val="28"/>
        </w:rPr>
        <w:t xml:space="preserve"> </w:t>
      </w:r>
      <w:proofErr w:type="spellStart"/>
      <w:r w:rsidRPr="004B55C8">
        <w:rPr>
          <w:rFonts w:ascii="Times New Roman" w:eastAsiaTheme="minorHAnsi" w:hAnsi="Times New Roman" w:cs="Times New Roman"/>
          <w:sz w:val="28"/>
          <w:szCs w:val="28"/>
        </w:rPr>
        <w:t>autoimmune</w:t>
      </w:r>
      <w:proofErr w:type="spellEnd"/>
      <w:r w:rsidRPr="004B55C8">
        <w:rPr>
          <w:rFonts w:ascii="Times New Roman" w:eastAsiaTheme="minorHAnsi" w:hAnsi="Times New Roman" w:cs="Times New Roman"/>
          <w:sz w:val="28"/>
          <w:szCs w:val="28"/>
        </w:rPr>
        <w:t xml:space="preserve"> systémique. Notre étude a porté sur l’étude du rôle de différentes cytokines dans les mécanismes </w:t>
      </w:r>
      <w:proofErr w:type="spellStart"/>
      <w:r w:rsidRPr="004B55C8">
        <w:rPr>
          <w:rFonts w:ascii="Times New Roman" w:eastAsiaTheme="minorHAnsi" w:hAnsi="Times New Roman" w:cs="Times New Roman"/>
          <w:sz w:val="28"/>
          <w:szCs w:val="28"/>
        </w:rPr>
        <w:t>immuno</w:t>
      </w:r>
      <w:proofErr w:type="spellEnd"/>
      <w:r w:rsidRPr="004B55C8">
        <w:rPr>
          <w:rFonts w:ascii="Times New Roman" w:eastAsiaTheme="minorHAnsi" w:hAnsi="Times New Roman" w:cs="Times New Roman"/>
          <w:sz w:val="28"/>
          <w:szCs w:val="28"/>
        </w:rPr>
        <w:t xml:space="preserve">-inflammatoires impliqués dans la pathogenèse et l’évolution du SGSp. Nos résultats ont clairement montré la présence d’un profil inflammatoire chez nos patients, marqué par une augmentation significative des teneurs de l’IL-17A, le TNF-α que l’IL-6, ainsi que par une forte production du monoxyde d’azote, et par une forte expression de la NOS2. De plus, les taux du NO, de l’IL-6, et de l’IL-17A produits ainsi que la NO </w:t>
      </w:r>
      <w:proofErr w:type="spellStart"/>
      <w:r w:rsidRPr="004B55C8">
        <w:rPr>
          <w:rFonts w:ascii="Times New Roman" w:eastAsiaTheme="minorHAnsi" w:hAnsi="Times New Roman" w:cs="Times New Roman"/>
          <w:sz w:val="28"/>
          <w:szCs w:val="28"/>
        </w:rPr>
        <w:t>synthase</w:t>
      </w:r>
      <w:proofErr w:type="spellEnd"/>
      <w:r w:rsidRPr="004B55C8">
        <w:rPr>
          <w:rFonts w:ascii="Times New Roman" w:eastAsiaTheme="minorHAnsi" w:hAnsi="Times New Roman" w:cs="Times New Roman"/>
          <w:sz w:val="28"/>
          <w:szCs w:val="28"/>
        </w:rPr>
        <w:t xml:space="preserve"> 2 (NOS2) exprimée étaient proportionnels au stade focal des patients. </w:t>
      </w:r>
    </w:p>
    <w:p w:rsidR="000B621E" w:rsidRPr="004B55C8" w:rsidRDefault="000B621E" w:rsidP="004B55C8"/>
    <w:sectPr w:rsidR="000B621E" w:rsidRPr="004B55C8" w:rsidSect="000B621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proofState w:spelling="clean" w:grammar="clean"/>
  <w:defaultTabStop w:val="708"/>
  <w:hyphenationZone w:val="425"/>
  <w:characterSpacingControl w:val="doNotCompress"/>
  <w:compat/>
  <w:rsids>
    <w:rsidRoot w:val="004B55C8"/>
    <w:rsid w:val="000B621E"/>
    <w:rsid w:val="004B55C8"/>
    <w:rsid w:val="007E0B9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55C8"/>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105</Words>
  <Characters>583</Characters>
  <Application>Microsoft Office Word</Application>
  <DocSecurity>0</DocSecurity>
  <Lines>4</Lines>
  <Paragraphs>1</Paragraphs>
  <ScaleCrop>false</ScaleCrop>
  <Company/>
  <LinksUpToDate>false</LinksUpToDate>
  <CharactersWithSpaces>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naima</dc:creator>
  <cp:lastModifiedBy>naima</cp:lastModifiedBy>
  <cp:revision>1</cp:revision>
  <dcterms:created xsi:type="dcterms:W3CDTF">2017-09-13T09:42:00Z</dcterms:created>
  <dcterms:modified xsi:type="dcterms:W3CDTF">2017-09-13T09:43:00Z</dcterms:modified>
</cp:coreProperties>
</file>