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3A3B" w:rsidRPr="000E3A3B" w:rsidRDefault="000E3A3B" w:rsidP="009E33B6">
      <w:pPr>
        <w:bidi w:val="0"/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</w:pP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Dans le cadre de ce travail, nous avons tout d’abord synthétisé par voie radicalaire des</w:t>
      </w:r>
      <w:r w:rsidR="009E33B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copolymères de types </w:t>
      </w:r>
      <w:proofErr w:type="gramStart"/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poly(</w:t>
      </w:r>
      <w:proofErr w:type="gramEnd"/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styrène-</w:t>
      </w:r>
      <w:proofErr w:type="spellStart"/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co</w:t>
      </w:r>
      <w:proofErr w:type="spellEnd"/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-acide méthacrylique) (PSMA) et poly(styrène-</w:t>
      </w:r>
      <w:proofErr w:type="spellStart"/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co</w:t>
      </w:r>
      <w:proofErr w:type="spellEnd"/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-4</w:t>
      </w:r>
      <w:r w:rsidRPr="000E3A3B">
        <w:rPr>
          <w:rFonts w:ascii="Times New Roman" w:eastAsia="Times New Roman" w:hAnsi="Times New Roman" w:cs="Times New Roman"/>
          <w:sz w:val="24"/>
          <w:szCs w:val="24"/>
          <w:rtl/>
          <w:lang w:val="fr-FR" w:eastAsia="fr-FR"/>
        </w:rPr>
        <w:t>-</w:t>
      </w:r>
      <w:proofErr w:type="spellStart"/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vinylpyridine</w:t>
      </w:r>
      <w:proofErr w:type="spellEnd"/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) (PS4VP) contenant différents taux en </w:t>
      </w:r>
      <w:proofErr w:type="spellStart"/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comonomères</w:t>
      </w:r>
      <w:proofErr w:type="spellEnd"/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acide et basique et les</w:t>
      </w:r>
      <w:r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avons caractérisés par différentes techniques</w:t>
      </w:r>
      <w:r w:rsidRPr="000E3A3B">
        <w:rPr>
          <w:rFonts w:ascii="Times New Roman" w:eastAsia="Times New Roman" w:hAnsi="Times New Roman" w:cs="Times New Roman"/>
          <w:sz w:val="24"/>
          <w:szCs w:val="24"/>
          <w:rtl/>
          <w:lang w:val="fr-FR" w:eastAsia="fr-FR"/>
        </w:rPr>
        <w:t>.</w:t>
      </w:r>
      <w:r w:rsidR="009E33B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Avec comme objectifs l’élaboration de nouveaux matériaux polymères aux propriétés</w:t>
      </w:r>
      <w:r w:rsidR="009E33B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améliorées, nous avons mélangé sous formes de binaires et de ternaires les différents</w:t>
      </w:r>
      <w:r w:rsidR="009E33B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copolymères synthétisés entre eux ou avec un PPO commercialisé. Ces formulations ont</w:t>
      </w:r>
      <w:r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conduit à des matériaux monophasés et </w:t>
      </w:r>
      <w:proofErr w:type="spellStart"/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hétérophasés</w:t>
      </w:r>
      <w:proofErr w:type="spellEnd"/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qui seront analysés d’un point de vue</w:t>
      </w:r>
      <w:r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morphologique et thermodynamique</w:t>
      </w:r>
      <w:r w:rsidRPr="000E3A3B">
        <w:rPr>
          <w:rFonts w:ascii="Times New Roman" w:eastAsia="Times New Roman" w:hAnsi="Times New Roman" w:cs="Times New Roman"/>
          <w:sz w:val="24"/>
          <w:szCs w:val="24"/>
          <w:rtl/>
          <w:lang w:val="fr-FR" w:eastAsia="fr-FR"/>
        </w:rPr>
        <w:t>.</w:t>
      </w:r>
      <w:r w:rsidR="003E69F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Nous avons également examiné par analyse thermogravimétrique (TGA) avant toute</w:t>
      </w:r>
      <w:r w:rsidR="003E69F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étude la stabilité thermique des copolymères synthétisés et des matériaux élaborés</w:t>
      </w:r>
      <w:r w:rsidRPr="000E3A3B">
        <w:rPr>
          <w:rFonts w:ascii="Times New Roman" w:eastAsia="Times New Roman" w:hAnsi="Times New Roman" w:cs="Times New Roman"/>
          <w:sz w:val="24"/>
          <w:szCs w:val="24"/>
          <w:rtl/>
          <w:lang w:val="fr-FR" w:eastAsia="fr-FR"/>
        </w:rPr>
        <w:t>.</w:t>
      </w:r>
    </w:p>
    <w:p w:rsidR="000E3A3B" w:rsidRPr="000E3A3B" w:rsidRDefault="000E3A3B" w:rsidP="003E69F6">
      <w:pPr>
        <w:bidi w:val="0"/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</w:pP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Nous avons alors étudié la morphologie de ces matériaux à l’état solide par les techniques</w:t>
      </w:r>
      <w:r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d’analyse </w:t>
      </w:r>
      <w:proofErr w:type="spellStart"/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enthalpique</w:t>
      </w:r>
      <w:proofErr w:type="spellEnd"/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différentielle (DSC), de chromatographie en phase gazeuse inverse</w:t>
      </w:r>
      <w:r>
        <w:rPr>
          <w:rFonts w:ascii="Times New Roman" w:eastAsia="Times New Roman" w:hAnsi="Times New Roman" w:cs="Times New Roman" w:hint="cs"/>
          <w:sz w:val="24"/>
          <w:szCs w:val="24"/>
          <w:rtl/>
          <w:lang w:val="fr-FR" w:eastAsia="fr-FR" w:bidi="ar-DZ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CPGI) et de microscopie électronique à balayage (MEB</w:t>
      </w:r>
      <w:r w:rsidR="003E69F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)</w:t>
      </w:r>
      <w:r w:rsidR="003E69F6">
        <w:rPr>
          <w:rFonts w:ascii="Times New Roman" w:eastAsia="Times New Roman" w:hAnsi="Times New Roman" w:cs="Times New Roman" w:hint="cs"/>
          <w:sz w:val="24"/>
          <w:szCs w:val="24"/>
          <w:rtl/>
          <w:lang w:val="fr-FR" w:eastAsia="fr-FR" w:bidi="ar-DZ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rtl/>
          <w:lang w:val="fr-FR" w:eastAsia="fr-FR"/>
        </w:rPr>
        <w:t>.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Les techniques de DSC et de CPGI sous sa forme ga</w:t>
      </w:r>
      <w:r w:rsidR="003E69F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z-solide utilisant une série de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molécules</w:t>
      </w:r>
      <w:r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sondes permettront la détermination des températures de transition vitreuses Tg qui seront</w:t>
      </w:r>
      <w:r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utilisées pour interpréter qualitativement les phénomènes de miscibilité et de séparation de</w:t>
      </w:r>
      <w:r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phases observés avec les différents mélanges à partir de l’obtention d’une seule ou de</w:t>
      </w:r>
      <w:r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plusieurs Tg</w:t>
      </w:r>
      <w:r w:rsidRPr="000E3A3B">
        <w:rPr>
          <w:rFonts w:ascii="Times New Roman" w:eastAsia="Times New Roman" w:hAnsi="Times New Roman" w:cs="Times New Roman"/>
          <w:sz w:val="24"/>
          <w:szCs w:val="24"/>
          <w:rtl/>
          <w:lang w:val="fr-FR" w:eastAsia="fr-FR"/>
        </w:rPr>
        <w:t>.</w:t>
      </w:r>
    </w:p>
    <w:p w:rsidR="000E3A3B" w:rsidRPr="000E3A3B" w:rsidRDefault="000E3A3B" w:rsidP="000E3A3B">
      <w:pPr>
        <w:bidi w:val="0"/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</w:pP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L’effet de la molécule sonde sur les températures de transition vitreuses Tg et celui des</w:t>
      </w:r>
      <w:r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groupements spécifiques de type 4-</w:t>
      </w:r>
      <w:proofErr w:type="spellStart"/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vinylpyridine</w:t>
      </w:r>
      <w:proofErr w:type="spellEnd"/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et acide méthacrylique introduits au sein de</w:t>
      </w:r>
      <w:r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la matrice polystyrène par copolymérisation sur la miscibilité de la paire PS/PPO et sur le</w:t>
      </w:r>
      <w:r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comportement des Tg-composition seront examinés</w:t>
      </w:r>
      <w:r w:rsidRPr="000E3A3B">
        <w:rPr>
          <w:rFonts w:ascii="Times New Roman" w:eastAsia="Times New Roman" w:hAnsi="Times New Roman" w:cs="Times New Roman"/>
          <w:sz w:val="24"/>
          <w:szCs w:val="24"/>
          <w:rtl/>
          <w:lang w:val="fr-FR" w:eastAsia="fr-FR"/>
        </w:rPr>
        <w:t>.</w:t>
      </w:r>
    </w:p>
    <w:p w:rsidR="000E3A3B" w:rsidRPr="000E3A3B" w:rsidRDefault="000E3A3B" w:rsidP="000E3A3B">
      <w:pPr>
        <w:bidi w:val="0"/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</w:pP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Une interprétation quantitative des interactions mises en jeu au sein de ces matériaux et à</w:t>
      </w:r>
      <w:r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l’origine des phénomènes observés a ensuite été menée utilisant les approches les plus</w:t>
      </w:r>
      <w:r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adéquates</w:t>
      </w:r>
      <w:r w:rsidRPr="000E3A3B">
        <w:rPr>
          <w:rFonts w:ascii="Times New Roman" w:eastAsia="Times New Roman" w:hAnsi="Times New Roman" w:cs="Times New Roman"/>
          <w:sz w:val="24"/>
          <w:szCs w:val="24"/>
          <w:rtl/>
          <w:lang w:val="fr-FR" w:eastAsia="fr-FR"/>
        </w:rPr>
        <w:t>.</w:t>
      </w:r>
    </w:p>
    <w:p w:rsidR="00B23BE0" w:rsidRPr="003E69F6" w:rsidRDefault="000E3A3B" w:rsidP="003E69F6">
      <w:pPr>
        <w:bidi w:val="0"/>
        <w:rPr>
          <w:rFonts w:ascii="Times New Roman" w:eastAsia="Times New Roman" w:hAnsi="Times New Roman" w:cs="Times New Roman" w:hint="cs"/>
          <w:sz w:val="24"/>
          <w:szCs w:val="24"/>
          <w:rtl/>
          <w:lang w:val="fr-FR" w:eastAsia="fr-FR" w:bidi="ar-DZ"/>
        </w:rPr>
      </w:pP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Une étude complémentaire de la morphologie des surfaces </w:t>
      </w:r>
      <w:proofErr w:type="spellStart"/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cryofracturées</w:t>
      </w:r>
      <w:proofErr w:type="spellEnd"/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de certains</w:t>
      </w:r>
      <w:r w:rsidR="003E69F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matériaux élaborés à partir de mélanges binaires homogènes et hétérogènes sera menée par</w:t>
      </w:r>
      <w:r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microscopie électronique à balayage (MEB</w:t>
      </w:r>
      <w:r w:rsidR="003E69F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).</w:t>
      </w:r>
      <w:r w:rsidR="003E69F6">
        <w:rPr>
          <w:rFonts w:ascii="Times New Roman" w:eastAsia="Times New Roman" w:hAnsi="Times New Roman" w:cs="Times New Roman"/>
          <w:sz w:val="24"/>
          <w:szCs w:val="24"/>
          <w:lang w:val="fr-FR" w:eastAsia="fr-FR" w:bidi="ar-DZ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La grande sensibilité de la spectroscopie infrarouge à tran</w:t>
      </w:r>
      <w:r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sformée de Fourier (FTIR) nous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dans le cadre de cette étude, permis de mettre en évidence d’abord qualitativement les</w:t>
      </w:r>
      <w:r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interactions spécifiques de type liaisons hydrogène qui se développent au sein des différents</w:t>
      </w:r>
      <w:r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mélanges et à l’origine de la formation de mélanges miscibles ou de complexes</w:t>
      </w:r>
      <w:r w:rsidR="003E69F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proofErr w:type="spellStart"/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interpolymères</w:t>
      </w:r>
      <w:proofErr w:type="spellEnd"/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. Une étude quantitative à partir du calcul des fractions libres et associées des</w:t>
      </w:r>
      <w:r w:rsidR="003E69F6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différentes espèces présentes dans chaque mélange PSMA20/PS4VP a été menée</w:t>
      </w:r>
      <w:r w:rsidRPr="000E3A3B">
        <w:rPr>
          <w:rFonts w:ascii="Times New Roman" w:eastAsia="Times New Roman" w:hAnsi="Times New Roman" w:cs="Times New Roman"/>
          <w:sz w:val="24"/>
          <w:szCs w:val="24"/>
          <w:rtl/>
          <w:lang w:val="fr-FR" w:eastAsia="fr-FR"/>
        </w:rPr>
        <w:t>.</w:t>
      </w:r>
      <w:r w:rsidR="003E69F6">
        <w:rPr>
          <w:rFonts w:ascii="Times New Roman" w:eastAsia="Times New Roman" w:hAnsi="Times New Roman" w:cs="Times New Roman"/>
          <w:sz w:val="24"/>
          <w:szCs w:val="24"/>
          <w:lang w:val="fr-FR" w:eastAsia="fr-FR" w:bidi="ar-DZ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Dans l’intervalle de température où l’équilibre thermodynamique est atteint, nous</w:t>
      </w:r>
      <w:r w:rsidR="003E69F6">
        <w:rPr>
          <w:rFonts w:ascii="Times New Roman" w:eastAsia="Times New Roman" w:hAnsi="Times New Roman" w:cs="Times New Roman"/>
          <w:sz w:val="24"/>
          <w:szCs w:val="24"/>
          <w:lang w:val="fr-FR" w:eastAsia="fr-FR" w:bidi="ar-DZ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avons utilisé la CPGI sous sa forme gaz-liquide pour calculer les grandeurs</w:t>
      </w:r>
      <w:r w:rsidR="003E69F6">
        <w:rPr>
          <w:rFonts w:ascii="Times New Roman" w:eastAsia="Times New Roman" w:hAnsi="Times New Roman" w:cs="Times New Roman"/>
          <w:sz w:val="24"/>
          <w:szCs w:val="24"/>
          <w:lang w:val="fr-FR" w:eastAsia="fr-FR" w:bidi="ar-DZ"/>
        </w:rPr>
        <w:t xml:space="preserve"> </w:t>
      </w:r>
      <w:r w:rsidRPr="000E3A3B">
        <w:rPr>
          <w:rFonts w:ascii="Times New Roman" w:eastAsia="Times New Roman" w:hAnsi="Times New Roman" w:cs="Times New Roman"/>
          <w:sz w:val="24"/>
          <w:szCs w:val="24"/>
          <w:lang w:val="fr-FR" w:eastAsia="fr-FR"/>
        </w:rPr>
        <w:t>thermodynamiques telles que les paramètres d’interaction polymère-molécule</w:t>
      </w:r>
    </w:p>
    <w:sectPr w:rsidR="00B23BE0" w:rsidRPr="003E69F6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A1E5C28"/>
    <w:multiLevelType w:val="hybridMultilevel"/>
    <w:tmpl w:val="AD1A5438"/>
    <w:lvl w:ilvl="0" w:tplc="FFFFFFFF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E3A3B"/>
    <w:rsid w:val="000F7A67"/>
    <w:rsid w:val="001A0B89"/>
    <w:rsid w:val="002214A4"/>
    <w:rsid w:val="002701CD"/>
    <w:rsid w:val="00280B15"/>
    <w:rsid w:val="002C3E8D"/>
    <w:rsid w:val="00311E08"/>
    <w:rsid w:val="00331277"/>
    <w:rsid w:val="00334D8A"/>
    <w:rsid w:val="0034258A"/>
    <w:rsid w:val="003A796B"/>
    <w:rsid w:val="003D2F35"/>
    <w:rsid w:val="003E69F6"/>
    <w:rsid w:val="003F310A"/>
    <w:rsid w:val="00426714"/>
    <w:rsid w:val="00434F66"/>
    <w:rsid w:val="00491D7D"/>
    <w:rsid w:val="004D4A4F"/>
    <w:rsid w:val="004D6F79"/>
    <w:rsid w:val="00521727"/>
    <w:rsid w:val="00565AA9"/>
    <w:rsid w:val="00573BFD"/>
    <w:rsid w:val="005854F9"/>
    <w:rsid w:val="005F47AF"/>
    <w:rsid w:val="0062768E"/>
    <w:rsid w:val="00637238"/>
    <w:rsid w:val="00751822"/>
    <w:rsid w:val="00753AE2"/>
    <w:rsid w:val="007A7F5D"/>
    <w:rsid w:val="007B11D7"/>
    <w:rsid w:val="0080117F"/>
    <w:rsid w:val="00864C32"/>
    <w:rsid w:val="00893F32"/>
    <w:rsid w:val="009B4078"/>
    <w:rsid w:val="009D0F83"/>
    <w:rsid w:val="009E217B"/>
    <w:rsid w:val="009E33B6"/>
    <w:rsid w:val="00A53F06"/>
    <w:rsid w:val="00A555F6"/>
    <w:rsid w:val="00A942A1"/>
    <w:rsid w:val="00AA61CD"/>
    <w:rsid w:val="00AB29CA"/>
    <w:rsid w:val="00AB5276"/>
    <w:rsid w:val="00AD52D6"/>
    <w:rsid w:val="00AE4A8A"/>
    <w:rsid w:val="00B23BE0"/>
    <w:rsid w:val="00B3099D"/>
    <w:rsid w:val="00B41A24"/>
    <w:rsid w:val="00B60D2E"/>
    <w:rsid w:val="00B64118"/>
    <w:rsid w:val="00B705B7"/>
    <w:rsid w:val="00BA3A1F"/>
    <w:rsid w:val="00BC5AE1"/>
    <w:rsid w:val="00C038B1"/>
    <w:rsid w:val="00C06CA0"/>
    <w:rsid w:val="00C26198"/>
    <w:rsid w:val="00C431AD"/>
    <w:rsid w:val="00C51DB2"/>
    <w:rsid w:val="00C5687E"/>
    <w:rsid w:val="00CC0B8B"/>
    <w:rsid w:val="00CC4896"/>
    <w:rsid w:val="00CE63AF"/>
    <w:rsid w:val="00CF2D39"/>
    <w:rsid w:val="00D10B15"/>
    <w:rsid w:val="00D601D7"/>
    <w:rsid w:val="00E412C7"/>
    <w:rsid w:val="00E6735E"/>
    <w:rsid w:val="00E904AD"/>
    <w:rsid w:val="00EB052E"/>
    <w:rsid w:val="00F323BA"/>
    <w:rsid w:val="00F64452"/>
    <w:rsid w:val="00F9438B"/>
    <w:rsid w:val="00FB34D4"/>
    <w:rsid w:val="00FC6982"/>
    <w:rsid w:val="00FF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Textedebulles">
    <w:name w:val="Balloon Text"/>
    <w:basedOn w:val="Normal"/>
    <w:link w:val="TextedebullesCar"/>
    <w:uiPriority w:val="99"/>
    <w:semiHidden/>
    <w:unhideWhenUsed/>
    <w:rsid w:val="00B3099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B3099D"/>
    <w:rPr>
      <w:rFonts w:ascii="Tahoma" w:hAnsi="Tahoma" w:cs="Tahoma"/>
      <w:sz w:val="16"/>
      <w:szCs w:val="16"/>
    </w:rPr>
  </w:style>
  <w:style w:type="paragraph" w:styleId="Corpsdetexte">
    <w:name w:val="Body Text"/>
    <w:basedOn w:val="Normal"/>
    <w:link w:val="CorpsdetexteCar"/>
    <w:semiHidden/>
    <w:rsid w:val="00FC6982"/>
    <w:pPr>
      <w:bidi w:val="0"/>
      <w:spacing w:after="0" w:line="360" w:lineRule="auto"/>
      <w:jc w:val="both"/>
    </w:pPr>
    <w:rPr>
      <w:rFonts w:ascii="Times New Roman" w:eastAsia="Times New Roman" w:hAnsi="Times New Roman" w:cs="Times New Roman"/>
      <w:sz w:val="24"/>
      <w:szCs w:val="24"/>
      <w:lang w:val="fr-FR" w:eastAsia="fr-FR"/>
    </w:rPr>
  </w:style>
  <w:style w:type="character" w:customStyle="1" w:styleId="CorpsdetexteCar">
    <w:name w:val="Corps de texte Car"/>
    <w:basedOn w:val="Policepardfaut"/>
    <w:link w:val="Corpsdetexte"/>
    <w:semiHidden/>
    <w:rsid w:val="00FC6982"/>
    <w:rPr>
      <w:rFonts w:ascii="Times New Roman" w:eastAsia="Times New Roman" w:hAnsi="Times New Roman" w:cs="Times New Roman"/>
      <w:sz w:val="24"/>
      <w:szCs w:val="24"/>
      <w:lang w:val="fr-FR" w:eastAsia="fr-F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867</TotalTime>
  <Pages>1</Pages>
  <Words>439</Words>
  <Characters>2503</Characters>
  <Application>Microsoft Office Word</Application>
  <DocSecurity>0</DocSecurity>
  <Lines>20</Lines>
  <Paragraphs>5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73</cp:revision>
  <dcterms:created xsi:type="dcterms:W3CDTF">2014-12-07T11:07:00Z</dcterms:created>
  <dcterms:modified xsi:type="dcterms:W3CDTF">2014-12-15T10:26:00Z</dcterms:modified>
</cp:coreProperties>
</file>