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28C9" w:rsidRDefault="00BF28C9" w:rsidP="00BF28C9">
      <w:pPr>
        <w:tabs>
          <w:tab w:val="left" w:pos="1020"/>
        </w:tabs>
      </w:pPr>
      <w:r>
        <w:tab/>
        <w:t>Notre travail se situe dans le cadre de recherches plus générales entreprises au sein de notre équipe «Mécanismes cellulaires et moléculaires du remodelage matriciel vasculaire» concernant l’influence d’une hyperhomocystéinémie, induite par une surcharge en Met, sur la biochimie et la physiologie de trois modèles animaux, à savoir le rat Wistar Rattus norvegicus, le lapin domestique Oryctolagus cuniculus domesticus et le rat des sables Psammomys obesus.</w:t>
      </w:r>
    </w:p>
    <w:p w:rsidR="00BF28C9" w:rsidRDefault="00BF28C9" w:rsidP="00BF28C9">
      <w:pPr>
        <w:tabs>
          <w:tab w:val="left" w:pos="1020"/>
        </w:tabs>
      </w:pPr>
      <w:r>
        <w:t>Pour notre part, l’intérêt s’est porté sur la réponse du système cardio-vasculaire du lapin mâle au régime instauré car l’athérosclérose qui en découlerait présente un intérêt pathologique considérable. L’analyse de la pathogénie de l’athérosclérose des modèles animaux est très complexe nous ne tentons pas de l’expliquer, notre programme de travail est limité à l’analyse des effets de la surcharge alimentaire en méthionine sur le plasma et les tissus cibles (aorte et coeur) chez le mâle en comparaison avec les résultats obtenus précédemment par notre équipe chez le même modèle femelle.</w:t>
      </w:r>
    </w:p>
    <w:p w:rsidR="00BF28C9" w:rsidRDefault="00BF28C9" w:rsidP="00BF28C9">
      <w:pPr>
        <w:tabs>
          <w:tab w:val="left" w:pos="1020"/>
        </w:tabs>
      </w:pPr>
      <w:r>
        <w:t>Nos investigations ont été conduites sur 24 lapins mâles, répartis en 2 lots correspondants aux régimes (avec et sans méthionine) pendant une durée de 3 mois. Pendant cette période nous avons suivi l’évolution pondérale et le développement des troubles biochimiques plasmatiques par des examens appropriés et ce, tous les 15 jours. Les paramètres plasmatiques mesurés sont, les lipides totaux, les différentes fractions lipoprotéiques, le cholestérol total et celui des fractions HDL et LDL, le NO, les TBARs, le Ca ++, la lactate déshydrogénase (LDHase). L’analyse des tissus cibles a porté essentiellement sur l’aorte et le coeur (ventricule gauche) dont nous avons réalisé l’histologie (topographique et histochimique) et la quantification de certains paramètres tissulaires à savoir, les lipides totaux, le cholestérol, les triglycérides, les TBARs.</w:t>
      </w:r>
    </w:p>
    <w:p w:rsidR="00BF28C9" w:rsidRDefault="00BF28C9" w:rsidP="00BF28C9">
      <w:pPr>
        <w:tabs>
          <w:tab w:val="left" w:pos="1020"/>
        </w:tabs>
      </w:pPr>
      <w:r>
        <w:t>Dans un second volet, nous avons estimé le comportement des tissus aortique et cardiaque, in vitro, par une étude préliminaire qui consiste à incuber ces tissus dans des plasmas d’animaux témoins et dans des plasmas de lapins soumis à la Met et à mesurer les flux de certains métabolites tels, les triglycérides, le LDL-cholestérol, le glucose et le NO.</w:t>
      </w:r>
    </w:p>
    <w:p w:rsidR="00FA75B3" w:rsidRDefault="00BF28C9" w:rsidP="00BF28C9">
      <w:pPr>
        <w:tabs>
          <w:tab w:val="left" w:pos="1020"/>
        </w:tabs>
      </w:pPr>
      <w:r>
        <w:t>L’ensemble des résultats a fait l’objet de discussion globale, faisant ressortir les points forts qui pourraient contribuer à une meilleure compréhension des troubles engendrés par l’hyperhomocystéinémie suite à la surcharge en méthionine sur un modèle animal de choix, le lapin mâle.</w:t>
      </w:r>
    </w:p>
    <w:sectPr w:rsidR="00FA75B3" w:rsidSect="00FA75B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F28C9"/>
    <w:rsid w:val="00BF28C9"/>
    <w:rsid w:val="00FA75B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75B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391</Words>
  <Characters>2154</Characters>
  <Application>Microsoft Office Word</Application>
  <DocSecurity>0</DocSecurity>
  <Lines>17</Lines>
  <Paragraphs>5</Paragraphs>
  <ScaleCrop>false</ScaleCrop>
  <Company/>
  <LinksUpToDate>false</LinksUpToDate>
  <CharactersWithSpaces>2540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2015-05-27T12:15:00Z</dcterms:created>
  <dcterms:modified xsi:type="dcterms:W3CDTF">2015-05-27T12:16:00Z</dcterms:modified>
</cp:coreProperties>
</file>