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6CF7" w:rsidRDefault="00BF6CF7" w:rsidP="00BF6CF7">
      <w:pPr>
        <w:pStyle w:val="Corpsdetexte"/>
        <w:rPr>
          <w:szCs w:val="28"/>
          <w:u w:val="single"/>
        </w:rPr>
      </w:pPr>
      <w:r>
        <w:rPr>
          <w:b/>
          <w:szCs w:val="28"/>
          <w:u w:val="single"/>
        </w:rPr>
        <w:t>RESUME</w:t>
      </w:r>
    </w:p>
    <w:p w:rsidR="00BF6CF7" w:rsidRDefault="00BF6CF7" w:rsidP="00BF6CF7">
      <w:pPr>
        <w:pStyle w:val="Corpsdetexte"/>
        <w:jc w:val="both"/>
        <w:rPr>
          <w:szCs w:val="28"/>
        </w:rPr>
      </w:pPr>
    </w:p>
    <w:p w:rsidR="00BF6CF7" w:rsidRDefault="00BF6CF7" w:rsidP="00BF6CF7">
      <w:pPr>
        <w:pStyle w:val="Corpsdetexte"/>
        <w:ind w:firstLine="708"/>
        <w:jc w:val="both"/>
        <w:rPr>
          <w:rFonts w:eastAsia="MS Mincho"/>
          <w:sz w:val="24"/>
          <w:szCs w:val="24"/>
        </w:rPr>
      </w:pPr>
      <w:r>
        <w:rPr>
          <w:rFonts w:eastAsia="MS Mincho"/>
          <w:sz w:val="24"/>
          <w:szCs w:val="24"/>
        </w:rPr>
        <w:t>L’étude et l’interprétation des données diagraphiques donnent des informations quantitatives sur les paramètres physiques des roches réservoirs. La combinaison de ces paramètres à travers un certain nombre d’abaques permet de faire toute l’analyse qualitative. Il est à noter que les logs diagraphiques sont des facteurs principaux pour la détermination de ces paramètres pétrophysiques, tels que le volume d’argile V</w:t>
      </w:r>
      <w:r>
        <w:rPr>
          <w:rFonts w:eastAsia="MS Mincho"/>
          <w:sz w:val="24"/>
          <w:szCs w:val="24"/>
          <w:vertAlign w:val="subscript"/>
        </w:rPr>
        <w:t>sh</w:t>
      </w:r>
      <w:r>
        <w:rPr>
          <w:rFonts w:eastAsia="MS Mincho"/>
          <w:sz w:val="24"/>
          <w:szCs w:val="24"/>
        </w:rPr>
        <w:t>, la résistivité, la porosité, la perméabilité, etc.</w:t>
      </w:r>
    </w:p>
    <w:p w:rsidR="00BF6CF7" w:rsidRDefault="00BF6CF7" w:rsidP="00BF6CF7">
      <w:pPr>
        <w:pStyle w:val="Corpsdetexte"/>
        <w:ind w:firstLine="708"/>
        <w:jc w:val="both"/>
        <w:rPr>
          <w:rFonts w:eastAsia="MS Mincho"/>
          <w:sz w:val="24"/>
          <w:szCs w:val="24"/>
        </w:rPr>
      </w:pPr>
    </w:p>
    <w:p w:rsidR="00BF6CF7" w:rsidRDefault="00BF6CF7" w:rsidP="00BF6CF7">
      <w:pPr>
        <w:pStyle w:val="Corpsdetexte"/>
        <w:ind w:firstLine="708"/>
        <w:jc w:val="both"/>
        <w:rPr>
          <w:rFonts w:eastAsia="MS Mincho"/>
          <w:sz w:val="24"/>
          <w:szCs w:val="24"/>
        </w:rPr>
      </w:pPr>
      <w:r>
        <w:rPr>
          <w:rFonts w:eastAsia="MS Mincho"/>
          <w:sz w:val="24"/>
          <w:szCs w:val="24"/>
        </w:rPr>
        <w:t>Une bonne caractérisation des réservoirs exige l'intégration des données de divers types et de diverses propriétés physiques. Parmi ces derniers, la distribution des litho-faciès et la détermination du type d’argile existant dans les réservoirs est d’une importance fondamentale. Le problème majeur dans la prévision de la distribution spatiale de ces propriétés physiques est que les données de puits sont souvent limitées et leur interprétation prend beaucoup de temps.</w:t>
      </w:r>
    </w:p>
    <w:p w:rsidR="00BF6CF7" w:rsidRDefault="00BF6CF7" w:rsidP="00BF6CF7">
      <w:pPr>
        <w:pStyle w:val="Corpsdetexte"/>
        <w:jc w:val="both"/>
        <w:rPr>
          <w:sz w:val="24"/>
          <w:szCs w:val="24"/>
        </w:rPr>
      </w:pPr>
    </w:p>
    <w:p w:rsidR="00BF6CF7" w:rsidRDefault="00BF6CF7" w:rsidP="00BF6CF7">
      <w:pPr>
        <w:pStyle w:val="Corpsdetexte"/>
        <w:ind w:firstLine="709"/>
        <w:jc w:val="both"/>
        <w:rPr>
          <w:sz w:val="24"/>
          <w:szCs w:val="24"/>
        </w:rPr>
      </w:pPr>
      <w:r>
        <w:rPr>
          <w:sz w:val="24"/>
          <w:szCs w:val="24"/>
        </w:rPr>
        <w:t>Cette présente étude consiste à appliquer de nouvelles approches pour la classification du lithofaciés à partir des données de diagraphies. Pour cela, nous avons exploité deux nouvelles approches d’analyse des données pétrophysiques ; la première consiste à l’étude de l’autosimilarité de la transformée en ondelettes continue (TOC) pour détecter les singularités qui caractérisent les signaux de diagraphies et la deuxième consiste à étudier deux outils de classification des réseaux de neurones : Le Perceptron Multicouche (PMC) et les cartes auto-organisatrices de Kohonen « Self Organizing Map » (SOM).</w:t>
      </w:r>
    </w:p>
    <w:p w:rsidR="00BF6CF7" w:rsidRDefault="00BF6CF7" w:rsidP="00BF6CF7">
      <w:pPr>
        <w:pStyle w:val="Corpsdetexte"/>
        <w:ind w:firstLine="709"/>
        <w:jc w:val="both"/>
        <w:rPr>
          <w:sz w:val="24"/>
          <w:szCs w:val="24"/>
        </w:rPr>
      </w:pPr>
    </w:p>
    <w:p w:rsidR="00BF6CF7" w:rsidRDefault="00BF6CF7" w:rsidP="00BF6CF7">
      <w:pPr>
        <w:ind w:firstLine="708"/>
        <w:jc w:val="both"/>
      </w:pPr>
      <w:r>
        <w:t xml:space="preserve">Dans le but de présenter les performances de ces techniques, nous avons appliqué ces méthodes sur des données diagraphiques réelles de deux puits HR-101 et HR-102 situés dans la région de Hamra qui est caractérisée par la production de gaz et une géologie complexe. Les résultats obtenus par ces nouvelles approches seront comparés à ceux délivrés par l’interprétation classique. Les résultats obtenus à partir de ces méthodes nous ont permis de constater que la classification du </w:t>
      </w:r>
      <w:proofErr w:type="spellStart"/>
      <w:r>
        <w:t>lithofaciés</w:t>
      </w:r>
      <w:proofErr w:type="spellEnd"/>
      <w:r>
        <w:t xml:space="preserve"> basée sur les réseaux de neurones et plus précisément ceux des cartes SOM de </w:t>
      </w:r>
      <w:proofErr w:type="spellStart"/>
      <w:r>
        <w:t>Kohonen</w:t>
      </w:r>
      <w:proofErr w:type="spellEnd"/>
      <w:r>
        <w:t xml:space="preserve"> sont plus précis par rapport à ceux obtenus par la segmentation de la courbe de </w:t>
      </w:r>
      <w:proofErr w:type="spellStart"/>
      <w:r>
        <w:rPr>
          <w:rFonts w:eastAsia="MS Mincho"/>
          <w:sz w:val="22"/>
          <w:szCs w:val="22"/>
        </w:rPr>
        <w:t>Hölder</w:t>
      </w:r>
      <w:proofErr w:type="spellEnd"/>
      <w:r>
        <w:t xml:space="preserve"> dans la détection des différentes formations géologiques y compris les fines intercalations.</w:t>
      </w:r>
    </w:p>
    <w:p w:rsidR="00BF6CF7" w:rsidRDefault="00BF6CF7" w:rsidP="00BF6CF7">
      <w:pPr>
        <w:jc w:val="both"/>
      </w:pPr>
    </w:p>
    <w:p w:rsidR="00BF6CF7" w:rsidRDefault="00BF6CF7" w:rsidP="00BF6CF7">
      <w:pPr>
        <w:ind w:firstLine="708"/>
        <w:jc w:val="both"/>
        <w:rPr>
          <w:rStyle w:val="hps"/>
        </w:rPr>
      </w:pPr>
      <w:r>
        <w:rPr>
          <w:rStyle w:val="hps"/>
        </w:rPr>
        <w:t xml:space="preserve">Enfin, la mise en œuvre de ces méthodes nous a permis de démontrer qu’il est possible de prévoir une interprétation géologique fiable afin de définir le modèle du réservoir dans un long terme. Etant donné que ces méthodes de calculs ont prouvé leurs efficacités, il est préférable de les exploiter pour un grand nombre de puits dans d’autres domaines d’intérêts. </w:t>
      </w:r>
    </w:p>
    <w:p w:rsidR="00BF6CF7" w:rsidRDefault="00BF6CF7" w:rsidP="00BF6CF7">
      <w:pPr>
        <w:jc w:val="both"/>
      </w:pPr>
    </w:p>
    <w:p w:rsidR="00BF6CF7" w:rsidRDefault="00BF6CF7" w:rsidP="00BF6CF7">
      <w:pPr>
        <w:jc w:val="both"/>
      </w:pPr>
      <w:r>
        <w:rPr>
          <w:b/>
        </w:rPr>
        <w:t>MOTS CLES:</w:t>
      </w:r>
      <w:r>
        <w:t xml:space="preserve"> Lithologie, diagraphie, </w:t>
      </w:r>
      <w:r>
        <w:rPr>
          <w:rFonts w:eastAsia="MS Mincho"/>
        </w:rPr>
        <w:t xml:space="preserve">analyse fractale, exposant de </w:t>
      </w:r>
      <w:proofErr w:type="spellStart"/>
      <w:r>
        <w:rPr>
          <w:rFonts w:eastAsia="MS Mincho"/>
        </w:rPr>
        <w:t>Hölder</w:t>
      </w:r>
      <w:proofErr w:type="spellEnd"/>
      <w:r>
        <w:rPr>
          <w:rFonts w:eastAsia="MS Mincho"/>
        </w:rPr>
        <w:t>, réseau de neurones, perceptron multicouche (PMC), cartes auto-organisatrice (SOM).</w:t>
      </w:r>
    </w:p>
    <w:p w:rsidR="00BF6CF7" w:rsidRDefault="00BF6CF7" w:rsidP="00BF6CF7">
      <w:pPr>
        <w:spacing w:before="360" w:after="360"/>
        <w:jc w:val="both"/>
        <w:rPr>
          <w:b/>
          <w:sz w:val="28"/>
          <w:szCs w:val="28"/>
        </w:rPr>
      </w:pPr>
    </w:p>
    <w:p w:rsidR="00101459" w:rsidRDefault="00101459"/>
    <w:sectPr w:rsidR="00101459" w:rsidSect="00101459">
      <w:foot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09D5" w:rsidRDefault="004E09D5" w:rsidP="00BF6CF7">
      <w:r>
        <w:separator/>
      </w:r>
    </w:p>
  </w:endnote>
  <w:endnote w:type="continuationSeparator" w:id="0">
    <w:p w:rsidR="004E09D5" w:rsidRDefault="004E09D5" w:rsidP="00BF6CF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4080"/>
      <w:docPartObj>
        <w:docPartGallery w:val="Page Numbers (Bottom of Page)"/>
        <w:docPartUnique/>
      </w:docPartObj>
    </w:sdtPr>
    <w:sdtContent>
      <w:p w:rsidR="00BF6CF7" w:rsidRDefault="006F652E">
        <w:pPr>
          <w:pStyle w:val="Pieddepage"/>
          <w:jc w:val="right"/>
        </w:pPr>
        <w:fldSimple w:instr=" PAGE   \* MERGEFORMAT ">
          <w:r w:rsidR="00C766E7">
            <w:rPr>
              <w:noProof/>
            </w:rPr>
            <w:t>1</w:t>
          </w:r>
        </w:fldSimple>
      </w:p>
    </w:sdtContent>
  </w:sdt>
  <w:p w:rsidR="00BF6CF7" w:rsidRDefault="00BF6CF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09D5" w:rsidRDefault="004E09D5" w:rsidP="00BF6CF7">
      <w:r>
        <w:separator/>
      </w:r>
    </w:p>
  </w:footnote>
  <w:footnote w:type="continuationSeparator" w:id="0">
    <w:p w:rsidR="004E09D5" w:rsidRDefault="004E09D5" w:rsidP="00BF6CF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8"/>
  <w:hyphenationZone w:val="425"/>
  <w:characterSpacingControl w:val="doNotCompress"/>
  <w:footnotePr>
    <w:footnote w:id="-1"/>
    <w:footnote w:id="0"/>
  </w:footnotePr>
  <w:endnotePr>
    <w:endnote w:id="-1"/>
    <w:endnote w:id="0"/>
  </w:endnotePr>
  <w:compat/>
  <w:rsids>
    <w:rsidRoot w:val="00BF6CF7"/>
    <w:rsid w:val="00101459"/>
    <w:rsid w:val="004E09D5"/>
    <w:rsid w:val="006F652E"/>
    <w:rsid w:val="00863661"/>
    <w:rsid w:val="00BF6CF7"/>
    <w:rsid w:val="00C766E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6CF7"/>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unhideWhenUsed/>
    <w:rsid w:val="00BF6CF7"/>
    <w:rPr>
      <w:sz w:val="28"/>
      <w:szCs w:val="20"/>
      <w:lang w:eastAsia="ja-JP"/>
    </w:rPr>
  </w:style>
  <w:style w:type="character" w:customStyle="1" w:styleId="CorpsdetexteCar">
    <w:name w:val="Corps de texte Car"/>
    <w:basedOn w:val="Policepardfaut"/>
    <w:link w:val="Corpsdetexte"/>
    <w:semiHidden/>
    <w:rsid w:val="00BF6CF7"/>
    <w:rPr>
      <w:rFonts w:ascii="Times New Roman" w:eastAsia="Times New Roman" w:hAnsi="Times New Roman" w:cs="Times New Roman"/>
      <w:sz w:val="28"/>
      <w:szCs w:val="20"/>
      <w:lang w:eastAsia="ja-JP"/>
    </w:rPr>
  </w:style>
  <w:style w:type="character" w:customStyle="1" w:styleId="hps">
    <w:name w:val="hps"/>
    <w:basedOn w:val="Policepardfaut"/>
    <w:rsid w:val="00BF6CF7"/>
  </w:style>
  <w:style w:type="paragraph" w:styleId="En-tte">
    <w:name w:val="header"/>
    <w:basedOn w:val="Normal"/>
    <w:link w:val="En-tteCar"/>
    <w:uiPriority w:val="99"/>
    <w:semiHidden/>
    <w:unhideWhenUsed/>
    <w:rsid w:val="00BF6CF7"/>
    <w:pPr>
      <w:tabs>
        <w:tab w:val="center" w:pos="4536"/>
        <w:tab w:val="right" w:pos="9072"/>
      </w:tabs>
    </w:pPr>
  </w:style>
  <w:style w:type="character" w:customStyle="1" w:styleId="En-tteCar">
    <w:name w:val="En-tête Car"/>
    <w:basedOn w:val="Policepardfaut"/>
    <w:link w:val="En-tte"/>
    <w:uiPriority w:val="99"/>
    <w:semiHidden/>
    <w:rsid w:val="00BF6CF7"/>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BF6CF7"/>
    <w:pPr>
      <w:tabs>
        <w:tab w:val="center" w:pos="4536"/>
        <w:tab w:val="right" w:pos="9072"/>
      </w:tabs>
    </w:pPr>
  </w:style>
  <w:style w:type="character" w:customStyle="1" w:styleId="PieddepageCar">
    <w:name w:val="Pied de page Car"/>
    <w:basedOn w:val="Policepardfaut"/>
    <w:link w:val="Pieddepage"/>
    <w:uiPriority w:val="99"/>
    <w:rsid w:val="00BF6CF7"/>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95625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437</Words>
  <Characters>2407</Characters>
  <Application>Microsoft Office Word</Application>
  <DocSecurity>0</DocSecurity>
  <Lines>20</Lines>
  <Paragraphs>5</Paragraphs>
  <ScaleCrop>false</ScaleCrop>
  <Company/>
  <LinksUpToDate>false</LinksUpToDate>
  <CharactersWithSpaces>2839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lamia</dc:creator>
  <cp:keywords/>
  <dc:description/>
  <cp:lastModifiedBy>lamia</cp:lastModifiedBy>
  <cp:revision>4</cp:revision>
  <dcterms:created xsi:type="dcterms:W3CDTF">2014-06-01T16:44:00Z</dcterms:created>
  <dcterms:modified xsi:type="dcterms:W3CDTF">2014-06-01T16:48:00Z</dcterms:modified>
</cp:coreProperties>
</file>