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143C" w:rsidRPr="005148B8" w:rsidRDefault="0012143C" w:rsidP="0012143C">
      <w:pPr>
        <w:jc w:val="center"/>
        <w:rPr>
          <w:b/>
          <w:bCs/>
        </w:rPr>
      </w:pPr>
    </w:p>
    <w:p w:rsidR="00665CF0" w:rsidRPr="005148B8" w:rsidRDefault="00054214" w:rsidP="00665CF0">
      <w:pPr>
        <w:spacing w:after="200" w:line="276" w:lineRule="auto"/>
        <w:jc w:val="center"/>
        <w:rPr>
          <w:rFonts w:eastAsia="Calibri"/>
          <w:b/>
          <w:sz w:val="28"/>
          <w:szCs w:val="28"/>
          <w:lang w:eastAsia="en-US"/>
        </w:rPr>
      </w:pPr>
      <w:r>
        <w:rPr>
          <w:rFonts w:eastAsia="Calibri"/>
          <w:b/>
          <w:sz w:val="28"/>
          <w:szCs w:val="28"/>
          <w:lang w:eastAsia="en-US"/>
        </w:rPr>
        <w:t xml:space="preserve">         </w:t>
      </w:r>
      <w:r w:rsidR="00665CF0" w:rsidRPr="005148B8">
        <w:rPr>
          <w:rFonts w:eastAsia="Calibri"/>
          <w:b/>
          <w:sz w:val="28"/>
          <w:szCs w:val="28"/>
          <w:lang w:eastAsia="en-US"/>
        </w:rPr>
        <w:t>Résumé</w:t>
      </w:r>
    </w:p>
    <w:p w:rsidR="00D24E5C" w:rsidRDefault="00665CF0" w:rsidP="00107215">
      <w:pPr>
        <w:spacing w:after="200"/>
        <w:jc w:val="both"/>
      </w:pPr>
      <w:r w:rsidRPr="005148B8">
        <w:t xml:space="preserve">La neurohypophyse constitue </w:t>
      </w:r>
      <w:r w:rsidR="001013C7">
        <w:t>le lieu de stockage de la</w:t>
      </w:r>
      <w:r w:rsidRPr="005148B8">
        <w:rPr>
          <w:rFonts w:eastAsia="Calibri"/>
          <w:lang w:eastAsia="en-US"/>
        </w:rPr>
        <w:t xml:space="preserve"> vasopressine </w:t>
      </w:r>
      <w:r w:rsidR="001013C7">
        <w:rPr>
          <w:rFonts w:eastAsia="Calibri"/>
          <w:lang w:eastAsia="en-US"/>
        </w:rPr>
        <w:t>qui</w:t>
      </w:r>
      <w:r w:rsidRPr="005148B8">
        <w:rPr>
          <w:rFonts w:eastAsia="Calibri"/>
          <w:lang w:eastAsia="en-US"/>
        </w:rPr>
        <w:t xml:space="preserve"> est synthétisée puis t</w:t>
      </w:r>
      <w:r w:rsidRPr="005148B8">
        <w:t>ransportée dans des granules de sécrétion</w:t>
      </w:r>
      <w:r w:rsidRPr="005148B8">
        <w:rPr>
          <w:b/>
        </w:rPr>
        <w:t>.</w:t>
      </w:r>
      <w:r w:rsidR="00D24E5C">
        <w:t xml:space="preserve"> </w:t>
      </w:r>
      <w:r w:rsidR="001013C7">
        <w:t xml:space="preserve">Ces dernières se caractérisent par </w:t>
      </w:r>
      <w:r w:rsidR="00107215">
        <w:t>la présence des dystrophines.</w:t>
      </w:r>
    </w:p>
    <w:p w:rsidR="00665CF0" w:rsidRPr="005148B8" w:rsidRDefault="00665CF0" w:rsidP="005D5159">
      <w:pPr>
        <w:spacing w:after="200"/>
        <w:ind w:firstLine="708"/>
        <w:jc w:val="both"/>
        <w:rPr>
          <w:rFonts w:eastAsia="Calibri"/>
          <w:lang w:eastAsia="en-US"/>
        </w:rPr>
      </w:pPr>
      <w:r w:rsidRPr="005148B8">
        <w:t xml:space="preserve">Nos résultats ont montré que </w:t>
      </w:r>
      <w:r w:rsidRPr="005148B8">
        <w:rPr>
          <w:rFonts w:eastAsia="Calibri"/>
          <w:lang w:eastAsia="en-US"/>
        </w:rPr>
        <w:t xml:space="preserve"> la déshydratation par </w:t>
      </w:r>
      <w:r w:rsidRPr="005148B8">
        <w:t>ingestion d’eau salée (2%)</w:t>
      </w:r>
      <w:r w:rsidRPr="005148B8">
        <w:rPr>
          <w:rFonts w:eastAsia="Calibri"/>
          <w:lang w:eastAsia="en-US"/>
        </w:rPr>
        <w:t xml:space="preserve"> </w:t>
      </w:r>
      <w:proofErr w:type="spellStart"/>
      <w:r w:rsidRPr="005148B8">
        <w:rPr>
          <w:rFonts w:eastAsia="Calibri"/>
          <w:lang w:eastAsia="en-US"/>
        </w:rPr>
        <w:t>NaCl</w:t>
      </w:r>
      <w:proofErr w:type="spellEnd"/>
      <w:r w:rsidRPr="005148B8">
        <w:rPr>
          <w:rFonts w:eastAsia="Calibri"/>
          <w:lang w:eastAsia="en-US"/>
        </w:rPr>
        <w:t xml:space="preserve"> induit une multitude </w:t>
      </w:r>
      <w:r w:rsidR="005D5159">
        <w:rPr>
          <w:rFonts w:eastAsia="Calibri"/>
          <w:lang w:eastAsia="en-US"/>
        </w:rPr>
        <w:t xml:space="preserve">de modifications physiologiques qui </w:t>
      </w:r>
      <w:r w:rsidRPr="005148B8">
        <w:rPr>
          <w:rFonts w:eastAsia="Calibri"/>
          <w:lang w:eastAsia="en-US"/>
        </w:rPr>
        <w:t>sont</w:t>
      </w:r>
      <w:r w:rsidR="00107215">
        <w:rPr>
          <w:rFonts w:eastAsia="Calibri"/>
          <w:lang w:eastAsia="en-US"/>
        </w:rPr>
        <w:t xml:space="preserve"> concomitantes à des variations </w:t>
      </w:r>
      <w:r w:rsidRPr="005148B8">
        <w:rPr>
          <w:rFonts w:eastAsia="Calibri"/>
          <w:lang w:eastAsia="en-US"/>
        </w:rPr>
        <w:t>dans la neurohypophyse, cette  dernière présente une organisation morpho-structurale particulière en réponse à des stimulations osmotiques et ce afin de rétablir l’homéostasie hydrominérale de l’organisme.</w:t>
      </w:r>
    </w:p>
    <w:p w:rsidR="00665CF0" w:rsidRDefault="00665CF0" w:rsidP="00665CF0">
      <w:pPr>
        <w:ind w:firstLine="708"/>
        <w:jc w:val="both"/>
      </w:pPr>
      <w:r w:rsidRPr="005148B8">
        <w:rPr>
          <w:rFonts w:eastAsia="Calibri"/>
          <w:lang w:eastAsia="en-US"/>
        </w:rPr>
        <w:t xml:space="preserve">Ces deux  phénomènes sont coordonnés et réversibles. </w:t>
      </w:r>
      <w:r w:rsidRPr="005148B8">
        <w:rPr>
          <w:lang w:bidi="ar-DZ"/>
        </w:rPr>
        <w:t xml:space="preserve">Le changement de la distribution des </w:t>
      </w:r>
      <w:proofErr w:type="spellStart"/>
      <w:r w:rsidRPr="005148B8">
        <w:rPr>
          <w:lang w:bidi="ar-DZ"/>
        </w:rPr>
        <w:t>Dps</w:t>
      </w:r>
      <w:proofErr w:type="spellEnd"/>
      <w:r w:rsidRPr="005148B8">
        <w:rPr>
          <w:lang w:bidi="ar-DZ"/>
        </w:rPr>
        <w:t xml:space="preserve">, des </w:t>
      </w:r>
      <w:r w:rsidRPr="005148B8">
        <w:t xml:space="preserve">β-DB </w:t>
      </w:r>
      <w:r w:rsidRPr="005148B8">
        <w:rPr>
          <w:lang w:bidi="ar-DZ"/>
        </w:rPr>
        <w:t xml:space="preserve">en fonction de différentes durées d’ingestion de boisson salée suggère le </w:t>
      </w:r>
      <w:r w:rsidRPr="005148B8">
        <w:t>rôle du complexe protéinique</w:t>
      </w:r>
      <w:r w:rsidRPr="005148B8">
        <w:rPr>
          <w:lang w:bidi="ar-DZ"/>
        </w:rPr>
        <w:t xml:space="preserve"> formé </w:t>
      </w:r>
      <w:r w:rsidRPr="005148B8">
        <w:t>dans le stockage et la libération des granules neurosécrétoires, dans la neurohypophyse, suite à un stress hydrique.</w:t>
      </w:r>
    </w:p>
    <w:p w:rsidR="005D5159" w:rsidRPr="005148B8" w:rsidRDefault="005D5159" w:rsidP="00665CF0">
      <w:pPr>
        <w:ind w:firstLine="708"/>
        <w:jc w:val="both"/>
      </w:pPr>
    </w:p>
    <w:p w:rsidR="007B1A2A" w:rsidRPr="005148B8" w:rsidRDefault="00665CF0" w:rsidP="005D5159">
      <w:r w:rsidRPr="005148B8">
        <w:rPr>
          <w:b/>
        </w:rPr>
        <w:t>Mots clefs</w:t>
      </w:r>
      <w:r w:rsidRPr="005148B8">
        <w:t> : Neurohypophyse, Déshydratation, Vasopressine, Plasticité, Dystrophine,  β-dystrobrévine.</w:t>
      </w:r>
    </w:p>
    <w:p w:rsidR="007B1A2A" w:rsidRPr="001013C7" w:rsidRDefault="007B1A2A" w:rsidP="007B1A2A">
      <w:pPr>
        <w:tabs>
          <w:tab w:val="left" w:pos="0"/>
          <w:tab w:val="right" w:pos="9406"/>
        </w:tabs>
        <w:suppressAutoHyphens/>
        <w:jc w:val="center"/>
        <w:rPr>
          <w:b/>
          <w:bCs/>
          <w:lang w:eastAsia="ar-SA"/>
        </w:rPr>
      </w:pPr>
    </w:p>
    <w:sectPr w:rsidR="007B1A2A" w:rsidRPr="001013C7" w:rsidSect="001644B8">
      <w:pgSz w:w="11906" w:h="16838" w:code="9"/>
      <w:pgMar w:top="1418" w:right="1286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4213" w:rsidRDefault="00C04213">
      <w:r>
        <w:separator/>
      </w:r>
    </w:p>
  </w:endnote>
  <w:endnote w:type="continuationSeparator" w:id="0">
    <w:p w:rsidR="00C04213" w:rsidRDefault="00C042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4213" w:rsidRDefault="00C04213">
      <w:r>
        <w:separator/>
      </w:r>
    </w:p>
  </w:footnote>
  <w:footnote w:type="continuationSeparator" w:id="0">
    <w:p w:rsidR="00C04213" w:rsidRDefault="00C0421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3"/>
  <w:proofState w:spelling="clean" w:grammar="clean"/>
  <w:stylePaneFormatFilter w:val="3F01"/>
  <w:defaultTabStop w:val="709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963631"/>
    <w:rsid w:val="00014957"/>
    <w:rsid w:val="00040E79"/>
    <w:rsid w:val="00045B02"/>
    <w:rsid w:val="00047964"/>
    <w:rsid w:val="00051872"/>
    <w:rsid w:val="00054214"/>
    <w:rsid w:val="000613C7"/>
    <w:rsid w:val="000D5961"/>
    <w:rsid w:val="001013C7"/>
    <w:rsid w:val="00107215"/>
    <w:rsid w:val="00113A5D"/>
    <w:rsid w:val="0012143C"/>
    <w:rsid w:val="00123841"/>
    <w:rsid w:val="001256B0"/>
    <w:rsid w:val="001410BC"/>
    <w:rsid w:val="00144FC0"/>
    <w:rsid w:val="00152CA9"/>
    <w:rsid w:val="001644B8"/>
    <w:rsid w:val="001868BF"/>
    <w:rsid w:val="0019278D"/>
    <w:rsid w:val="001D2E92"/>
    <w:rsid w:val="001D6D06"/>
    <w:rsid w:val="001E4ED5"/>
    <w:rsid w:val="002018F2"/>
    <w:rsid w:val="00203320"/>
    <w:rsid w:val="0021497E"/>
    <w:rsid w:val="00221562"/>
    <w:rsid w:val="00237ADD"/>
    <w:rsid w:val="002452DE"/>
    <w:rsid w:val="00245B93"/>
    <w:rsid w:val="002A4B21"/>
    <w:rsid w:val="002E6543"/>
    <w:rsid w:val="002F0DB6"/>
    <w:rsid w:val="002F19BF"/>
    <w:rsid w:val="002F761C"/>
    <w:rsid w:val="00302B7A"/>
    <w:rsid w:val="00305F86"/>
    <w:rsid w:val="003066F0"/>
    <w:rsid w:val="00306F6E"/>
    <w:rsid w:val="003074DC"/>
    <w:rsid w:val="00320639"/>
    <w:rsid w:val="0035154B"/>
    <w:rsid w:val="00361410"/>
    <w:rsid w:val="003652FF"/>
    <w:rsid w:val="00367358"/>
    <w:rsid w:val="00396CCA"/>
    <w:rsid w:val="003A1449"/>
    <w:rsid w:val="003B2AE3"/>
    <w:rsid w:val="003C6579"/>
    <w:rsid w:val="003F3B55"/>
    <w:rsid w:val="004039F0"/>
    <w:rsid w:val="0042225F"/>
    <w:rsid w:val="00432D69"/>
    <w:rsid w:val="00446936"/>
    <w:rsid w:val="004705F8"/>
    <w:rsid w:val="00483BF1"/>
    <w:rsid w:val="004B0669"/>
    <w:rsid w:val="004B229F"/>
    <w:rsid w:val="004E2770"/>
    <w:rsid w:val="004F34FC"/>
    <w:rsid w:val="00501DB3"/>
    <w:rsid w:val="0050791F"/>
    <w:rsid w:val="005148B8"/>
    <w:rsid w:val="00552A20"/>
    <w:rsid w:val="005678F2"/>
    <w:rsid w:val="00572465"/>
    <w:rsid w:val="00573966"/>
    <w:rsid w:val="005A0131"/>
    <w:rsid w:val="005B03FE"/>
    <w:rsid w:val="005C19BB"/>
    <w:rsid w:val="005D5159"/>
    <w:rsid w:val="005E0053"/>
    <w:rsid w:val="005E36BA"/>
    <w:rsid w:val="005F06F2"/>
    <w:rsid w:val="005F3648"/>
    <w:rsid w:val="005F6444"/>
    <w:rsid w:val="00603148"/>
    <w:rsid w:val="00603570"/>
    <w:rsid w:val="006038D0"/>
    <w:rsid w:val="00656E6C"/>
    <w:rsid w:val="00665CF0"/>
    <w:rsid w:val="00680D41"/>
    <w:rsid w:val="00684315"/>
    <w:rsid w:val="00685135"/>
    <w:rsid w:val="00686CCA"/>
    <w:rsid w:val="006966AF"/>
    <w:rsid w:val="006D0A97"/>
    <w:rsid w:val="006E3964"/>
    <w:rsid w:val="006F1E26"/>
    <w:rsid w:val="006F5ABB"/>
    <w:rsid w:val="006F5E04"/>
    <w:rsid w:val="00705ED8"/>
    <w:rsid w:val="00745162"/>
    <w:rsid w:val="00745987"/>
    <w:rsid w:val="0076027C"/>
    <w:rsid w:val="007A208B"/>
    <w:rsid w:val="007B1293"/>
    <w:rsid w:val="007B1A2A"/>
    <w:rsid w:val="007D3CBE"/>
    <w:rsid w:val="007D6D78"/>
    <w:rsid w:val="00827418"/>
    <w:rsid w:val="00855A6B"/>
    <w:rsid w:val="00863A61"/>
    <w:rsid w:val="00864649"/>
    <w:rsid w:val="00866576"/>
    <w:rsid w:val="008847E3"/>
    <w:rsid w:val="008A03FC"/>
    <w:rsid w:val="008A6834"/>
    <w:rsid w:val="008D16D4"/>
    <w:rsid w:val="008D343E"/>
    <w:rsid w:val="008E5BA5"/>
    <w:rsid w:val="008E6B79"/>
    <w:rsid w:val="00952AFD"/>
    <w:rsid w:val="00955FC2"/>
    <w:rsid w:val="00963631"/>
    <w:rsid w:val="00973A26"/>
    <w:rsid w:val="009C038A"/>
    <w:rsid w:val="00A00C45"/>
    <w:rsid w:val="00A01579"/>
    <w:rsid w:val="00A427C6"/>
    <w:rsid w:val="00A440BC"/>
    <w:rsid w:val="00A61237"/>
    <w:rsid w:val="00A66C3B"/>
    <w:rsid w:val="00A66E85"/>
    <w:rsid w:val="00AA0053"/>
    <w:rsid w:val="00AC79BB"/>
    <w:rsid w:val="00AF1E86"/>
    <w:rsid w:val="00B14AEF"/>
    <w:rsid w:val="00B32B84"/>
    <w:rsid w:val="00B565F7"/>
    <w:rsid w:val="00B71536"/>
    <w:rsid w:val="00BC7AD8"/>
    <w:rsid w:val="00BE4BF8"/>
    <w:rsid w:val="00C01B1B"/>
    <w:rsid w:val="00C04213"/>
    <w:rsid w:val="00C065A1"/>
    <w:rsid w:val="00C11692"/>
    <w:rsid w:val="00C163B9"/>
    <w:rsid w:val="00C321A3"/>
    <w:rsid w:val="00C53B72"/>
    <w:rsid w:val="00C74617"/>
    <w:rsid w:val="00C77CCD"/>
    <w:rsid w:val="00CA12CF"/>
    <w:rsid w:val="00CB6244"/>
    <w:rsid w:val="00CF2870"/>
    <w:rsid w:val="00D02372"/>
    <w:rsid w:val="00D0775D"/>
    <w:rsid w:val="00D24E5C"/>
    <w:rsid w:val="00D429E2"/>
    <w:rsid w:val="00D4557C"/>
    <w:rsid w:val="00D5285A"/>
    <w:rsid w:val="00D60D86"/>
    <w:rsid w:val="00D71894"/>
    <w:rsid w:val="00D72DE6"/>
    <w:rsid w:val="00D82D91"/>
    <w:rsid w:val="00D942C1"/>
    <w:rsid w:val="00D95515"/>
    <w:rsid w:val="00DA3A26"/>
    <w:rsid w:val="00DC7BBA"/>
    <w:rsid w:val="00E15B15"/>
    <w:rsid w:val="00E23ED0"/>
    <w:rsid w:val="00E4541F"/>
    <w:rsid w:val="00E65320"/>
    <w:rsid w:val="00E77451"/>
    <w:rsid w:val="00E80CF7"/>
    <w:rsid w:val="00F0517E"/>
    <w:rsid w:val="00F06420"/>
    <w:rsid w:val="00F126C5"/>
    <w:rsid w:val="00F151F8"/>
    <w:rsid w:val="00F17288"/>
    <w:rsid w:val="00F35A10"/>
    <w:rsid w:val="00F4074A"/>
    <w:rsid w:val="00F97125"/>
    <w:rsid w:val="00FE6599"/>
    <w:rsid w:val="00FF42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Policepardfaut">
    <w:name w:val="Default Paragraph Font"/>
    <w:semiHidden/>
  </w:style>
  <w:style w:type="table" w:default="1" w:styleId="Tableau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semiHidden/>
  </w:style>
  <w:style w:type="table" w:styleId="Grilledutableau">
    <w:name w:val="Table Grid"/>
    <w:basedOn w:val="TableauNormal"/>
    <w:rsid w:val="005E005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-tte">
    <w:name w:val="header"/>
    <w:basedOn w:val="Normal"/>
    <w:rsid w:val="00045B02"/>
    <w:pPr>
      <w:tabs>
        <w:tab w:val="center" w:pos="4153"/>
        <w:tab w:val="right" w:pos="8306"/>
      </w:tabs>
    </w:pPr>
  </w:style>
  <w:style w:type="paragraph" w:styleId="Pieddepage">
    <w:name w:val="footer"/>
    <w:basedOn w:val="Normal"/>
    <w:rsid w:val="00045B02"/>
    <w:pPr>
      <w:tabs>
        <w:tab w:val="center" w:pos="4153"/>
        <w:tab w:val="right" w:pos="8306"/>
      </w:tabs>
    </w:pPr>
  </w:style>
  <w:style w:type="paragraph" w:customStyle="1" w:styleId="Default">
    <w:name w:val="Default"/>
    <w:rsid w:val="0050791F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159</Words>
  <Characters>876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Notre étude a porté sur 42 rats Wistar males adultes : Rattus norvegicus, de 7 à 8 semaines dont le poids corporel varie entre 180 et 230g, acquis auprès de l’institut Pasteur d’Alger</vt:lpstr>
    </vt:vector>
  </TitlesOfParts>
  <Company/>
  <LinksUpToDate>false</LinksUpToDate>
  <CharactersWithSpaces>1033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Notre étude a porté sur 42 rats Wistar males adultes : Rattus norvegicus, de 7 à 8 semaines dont le poids corporel varie entre 180 et 230g, acquis auprès de l’institut Pasteur d’Alger</dc:title>
  <dc:creator>pc</dc:creator>
  <cp:lastModifiedBy>HAMD</cp:lastModifiedBy>
  <cp:revision>2</cp:revision>
  <cp:lastPrinted>2013-03-13T11:34:00Z</cp:lastPrinted>
  <dcterms:created xsi:type="dcterms:W3CDTF">2013-03-24T20:06:00Z</dcterms:created>
  <dcterms:modified xsi:type="dcterms:W3CDTF">2013-03-24T20:06:00Z</dcterms:modified>
</cp:coreProperties>
</file>