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BF5F18" w:rsidRPr="000D5037" w:rsidRDefault="00BF5F18" w:rsidP="00BF5F18">
      <w:pPr>
        <w:rPr>
          <w:rFonts w:ascii="Times New Roman" w:hAnsi="Times New Roman" w:cs="Times New Roman"/>
          <w:b/>
          <w:sz w:val="32"/>
          <w:szCs w:val="32"/>
        </w:rPr>
      </w:pPr>
      <w:r w:rsidRPr="000D5037">
        <w:rPr>
          <w:rFonts w:ascii="Times New Roman" w:hAnsi="Times New Roman" w:cs="Times New Roman"/>
          <w:b/>
          <w:sz w:val="32"/>
          <w:szCs w:val="32"/>
        </w:rPr>
        <w:t>Résumé</w:t>
      </w:r>
    </w:p>
    <w:p w:rsidR="00BF5F18" w:rsidRPr="006F2BAB" w:rsidRDefault="00BF5F18" w:rsidP="00BF5F18">
      <w:pPr>
        <w:spacing w:line="360" w:lineRule="auto"/>
        <w:jc w:val="both"/>
        <w:rPr>
          <w:rFonts w:ascii="Times New Roman" w:hAnsi="Times New Roman" w:cs="Times New Roman"/>
          <w:sz w:val="24"/>
          <w:szCs w:val="24"/>
        </w:rPr>
      </w:pPr>
      <w:bookmarkStart w:id="0" w:name="_GoBack"/>
      <w:r w:rsidRPr="006F2BAB">
        <w:rPr>
          <w:rFonts w:ascii="Times New Roman" w:hAnsi="Times New Roman" w:cs="Times New Roman"/>
          <w:sz w:val="24"/>
          <w:szCs w:val="24"/>
        </w:rPr>
        <w:t>La réduction de la pollution de l’environnement est devenue aujourd’hui un aspect important qui doit être pris en considération lors de</w:t>
      </w:r>
      <w:r>
        <w:rPr>
          <w:rFonts w:ascii="Times New Roman" w:hAnsi="Times New Roman" w:cs="Times New Roman"/>
          <w:sz w:val="24"/>
          <w:szCs w:val="24"/>
        </w:rPr>
        <w:t xml:space="preserve"> la</w:t>
      </w:r>
      <w:r w:rsidRPr="006F2BAB">
        <w:rPr>
          <w:rFonts w:ascii="Times New Roman" w:hAnsi="Times New Roman" w:cs="Times New Roman"/>
          <w:sz w:val="24"/>
          <w:szCs w:val="24"/>
        </w:rPr>
        <w:t xml:space="preserve"> fabrication du béton. L’utilisation des additions minérales permettra d’obtenir l’aspect économique et écologique souhaité. La question principale est donc de rechercher des  approches cohérentes entre la microstructure des bétons à base d’addition et leur durabilité afin de répondre aux deux aspects cités précédemment. Pour cela, nous avons mis en place toute une série d’essais sur pâte, mortier et béton pour nous permettre d’arriver, par une approche expérimentale spécifique, à satisfaire ces objectifs.</w:t>
      </w:r>
    </w:p>
    <w:p w:rsidR="00BF5F18" w:rsidRPr="006F2BAB" w:rsidRDefault="00BF5F18" w:rsidP="00BF5F18">
      <w:pPr>
        <w:spacing w:line="360" w:lineRule="auto"/>
        <w:jc w:val="both"/>
        <w:rPr>
          <w:rFonts w:ascii="Times New Roman" w:hAnsi="Times New Roman" w:cs="Times New Roman"/>
          <w:sz w:val="24"/>
          <w:szCs w:val="24"/>
        </w:rPr>
      </w:pPr>
      <w:r w:rsidRPr="006F2BAB">
        <w:rPr>
          <w:rFonts w:ascii="Times New Roman" w:hAnsi="Times New Roman" w:cs="Times New Roman"/>
          <w:sz w:val="24"/>
          <w:szCs w:val="24"/>
        </w:rPr>
        <w:t xml:space="preserve">La première partie du travail de thèse a consisté à étudier l’évolution de la cinétique d’hydratation du ciment contenant </w:t>
      </w:r>
      <w:r>
        <w:rPr>
          <w:rFonts w:ascii="Times New Roman" w:hAnsi="Times New Roman" w:cs="Times New Roman"/>
          <w:sz w:val="24"/>
          <w:szCs w:val="24"/>
        </w:rPr>
        <w:t>du laitier de haut fourneau (LHF), de la pouzzolane naturelle (</w:t>
      </w:r>
      <w:r w:rsidRPr="006F2BAB">
        <w:rPr>
          <w:rFonts w:ascii="Times New Roman" w:hAnsi="Times New Roman" w:cs="Times New Roman"/>
          <w:sz w:val="24"/>
          <w:szCs w:val="24"/>
        </w:rPr>
        <w:t>P</w:t>
      </w:r>
      <w:r>
        <w:rPr>
          <w:rFonts w:ascii="Times New Roman" w:hAnsi="Times New Roman" w:cs="Times New Roman"/>
          <w:sz w:val="24"/>
          <w:szCs w:val="24"/>
        </w:rPr>
        <w:t>N</w:t>
      </w:r>
      <w:r w:rsidRPr="006F2BAB">
        <w:rPr>
          <w:rFonts w:ascii="Times New Roman" w:hAnsi="Times New Roman" w:cs="Times New Roman"/>
          <w:sz w:val="24"/>
          <w:szCs w:val="24"/>
        </w:rPr>
        <w:t>) ou d</w:t>
      </w:r>
      <w:r>
        <w:rPr>
          <w:rFonts w:ascii="Times New Roman" w:hAnsi="Times New Roman" w:cs="Times New Roman"/>
          <w:sz w:val="24"/>
          <w:szCs w:val="24"/>
        </w:rPr>
        <w:t>es</w:t>
      </w:r>
      <w:r w:rsidRPr="006F2BAB">
        <w:rPr>
          <w:rFonts w:ascii="Times New Roman" w:hAnsi="Times New Roman" w:cs="Times New Roman"/>
          <w:sz w:val="24"/>
          <w:szCs w:val="24"/>
        </w:rPr>
        <w:t xml:space="preserve"> filler</w:t>
      </w:r>
      <w:r>
        <w:rPr>
          <w:rFonts w:ascii="Times New Roman" w:hAnsi="Times New Roman" w:cs="Times New Roman"/>
          <w:sz w:val="24"/>
          <w:szCs w:val="24"/>
        </w:rPr>
        <w:t>s calcaires (FC</w:t>
      </w:r>
      <w:r w:rsidRPr="006F2BAB">
        <w:rPr>
          <w:rFonts w:ascii="Times New Roman" w:hAnsi="Times New Roman" w:cs="Times New Roman"/>
          <w:sz w:val="24"/>
          <w:szCs w:val="24"/>
        </w:rPr>
        <w:t>). Cette évolution est mesurée expérimentalement par des méthodes dite</w:t>
      </w:r>
      <w:r>
        <w:rPr>
          <w:rFonts w:ascii="Times New Roman" w:hAnsi="Times New Roman" w:cs="Times New Roman"/>
          <w:sz w:val="24"/>
          <w:szCs w:val="24"/>
        </w:rPr>
        <w:t>s</w:t>
      </w:r>
      <w:r w:rsidRPr="006F2BAB">
        <w:rPr>
          <w:rFonts w:ascii="Times New Roman" w:hAnsi="Times New Roman" w:cs="Times New Roman"/>
          <w:sz w:val="24"/>
          <w:szCs w:val="24"/>
        </w:rPr>
        <w:t xml:space="preserve"> indirecte</w:t>
      </w:r>
      <w:r>
        <w:rPr>
          <w:rFonts w:ascii="Times New Roman" w:hAnsi="Times New Roman" w:cs="Times New Roman"/>
          <w:sz w:val="24"/>
          <w:szCs w:val="24"/>
        </w:rPr>
        <w:t>s</w:t>
      </w:r>
      <w:r w:rsidRPr="006F2BAB">
        <w:rPr>
          <w:rFonts w:ascii="Times New Roman" w:hAnsi="Times New Roman" w:cs="Times New Roman"/>
          <w:sz w:val="24"/>
          <w:szCs w:val="24"/>
        </w:rPr>
        <w:t xml:space="preserve"> (dégagement de chaleur et la quantité d’eau liée chimiquement). </w:t>
      </w:r>
      <w:proofErr w:type="spellStart"/>
      <w:r w:rsidRPr="006F2BAB">
        <w:rPr>
          <w:rFonts w:ascii="Times New Roman" w:hAnsi="Times New Roman" w:cs="Times New Roman"/>
          <w:sz w:val="24"/>
          <w:szCs w:val="24"/>
        </w:rPr>
        <w:t>Un</w:t>
      </w:r>
      <w:r>
        <w:rPr>
          <w:rFonts w:ascii="Times New Roman" w:hAnsi="Times New Roman" w:cs="Times New Roman"/>
          <w:sz w:val="24"/>
          <w:szCs w:val="24"/>
        </w:rPr>
        <w:t>eméthode</w:t>
      </w:r>
      <w:proofErr w:type="spellEnd"/>
      <w:r w:rsidRPr="006F2BAB">
        <w:rPr>
          <w:rFonts w:ascii="Times New Roman" w:hAnsi="Times New Roman" w:cs="Times New Roman"/>
          <w:sz w:val="24"/>
          <w:szCs w:val="24"/>
        </w:rPr>
        <w:t xml:space="preserve"> pour quantifier l’évolution de la cinétique d’hydratation basé</w:t>
      </w:r>
      <w:r>
        <w:rPr>
          <w:rFonts w:ascii="Times New Roman" w:hAnsi="Times New Roman" w:cs="Times New Roman"/>
          <w:sz w:val="24"/>
          <w:szCs w:val="24"/>
        </w:rPr>
        <w:t>e</w:t>
      </w:r>
      <w:r w:rsidRPr="006F2BAB">
        <w:rPr>
          <w:rFonts w:ascii="Times New Roman" w:hAnsi="Times New Roman" w:cs="Times New Roman"/>
          <w:sz w:val="24"/>
          <w:szCs w:val="24"/>
        </w:rPr>
        <w:t xml:space="preserve"> sur les résultats expérimentaux de la quantité d’eau liée chimiquement a été développé</w:t>
      </w:r>
      <w:r>
        <w:rPr>
          <w:rFonts w:ascii="Times New Roman" w:hAnsi="Times New Roman" w:cs="Times New Roman"/>
          <w:sz w:val="24"/>
          <w:szCs w:val="24"/>
        </w:rPr>
        <w:t>e</w:t>
      </w:r>
      <w:r w:rsidRPr="006F2BAB">
        <w:rPr>
          <w:rFonts w:ascii="Times New Roman" w:hAnsi="Times New Roman" w:cs="Times New Roman"/>
          <w:sz w:val="24"/>
          <w:szCs w:val="24"/>
        </w:rPr>
        <w:t>. Ce</w:t>
      </w:r>
      <w:r>
        <w:rPr>
          <w:rFonts w:ascii="Times New Roman" w:hAnsi="Times New Roman" w:cs="Times New Roman"/>
          <w:sz w:val="24"/>
          <w:szCs w:val="24"/>
        </w:rPr>
        <w:t>tte</w:t>
      </w:r>
      <w:r w:rsidRPr="006F2BAB">
        <w:rPr>
          <w:rFonts w:ascii="Times New Roman" w:hAnsi="Times New Roman" w:cs="Times New Roman"/>
          <w:sz w:val="24"/>
          <w:szCs w:val="24"/>
        </w:rPr>
        <w:t xml:space="preserve"> m</w:t>
      </w:r>
      <w:r>
        <w:rPr>
          <w:rFonts w:ascii="Times New Roman" w:hAnsi="Times New Roman" w:cs="Times New Roman"/>
          <w:sz w:val="24"/>
          <w:szCs w:val="24"/>
        </w:rPr>
        <w:t>éthode</w:t>
      </w:r>
      <w:r w:rsidRPr="006F2BAB">
        <w:rPr>
          <w:rFonts w:ascii="Times New Roman" w:hAnsi="Times New Roman" w:cs="Times New Roman"/>
          <w:sz w:val="24"/>
          <w:szCs w:val="24"/>
        </w:rPr>
        <w:t xml:space="preserve"> a pris en compte la contribution liante des additions minérales.</w:t>
      </w:r>
    </w:p>
    <w:p w:rsidR="00BF5F18" w:rsidRPr="006F2BAB" w:rsidRDefault="00BF5F18" w:rsidP="00BF5F18">
      <w:pPr>
        <w:spacing w:line="360" w:lineRule="auto"/>
        <w:jc w:val="both"/>
        <w:rPr>
          <w:rFonts w:ascii="Times New Roman" w:hAnsi="Times New Roman" w:cs="Times New Roman"/>
          <w:sz w:val="24"/>
          <w:szCs w:val="24"/>
        </w:rPr>
      </w:pPr>
      <w:r w:rsidRPr="006F2BAB">
        <w:rPr>
          <w:rFonts w:ascii="Times New Roman" w:hAnsi="Times New Roman" w:cs="Times New Roman"/>
          <w:sz w:val="24"/>
          <w:szCs w:val="24"/>
        </w:rPr>
        <w:t>La deuxième partie de ce travail est consacrée à l’analyse des résultats d’une étude expérimentale menée sur les mortiers et bétons qui ont permis d’évaluer l’influences des paramètre</w:t>
      </w:r>
      <w:r>
        <w:rPr>
          <w:rFonts w:ascii="Times New Roman" w:hAnsi="Times New Roman" w:cs="Times New Roman"/>
          <w:sz w:val="24"/>
          <w:szCs w:val="24"/>
        </w:rPr>
        <w:t>s</w:t>
      </w:r>
      <w:r w:rsidRPr="006F2BAB">
        <w:rPr>
          <w:rFonts w:ascii="Times New Roman" w:hAnsi="Times New Roman" w:cs="Times New Roman"/>
          <w:sz w:val="24"/>
          <w:szCs w:val="24"/>
        </w:rPr>
        <w:t xml:space="preserve"> de composition  d’une matrice cimentaire, en particulier la nature et le taux d’addition incorporée sur la réponse mécanique, la porosité totale, la structure des pores et le degré d’interconnexion.</w:t>
      </w:r>
      <w:bookmarkEnd w:id="0"/>
    </w:p>
    <w:sectPr w:rsidR="00BF5F18" w:rsidRPr="006F2BAB" w:rsidSect="00AF5C16">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2"/>
  </w:compat>
  <w:rsids>
    <w:rsidRoot w:val="00BF5F18"/>
    <w:rsid w:val="000D5037"/>
    <w:rsid w:val="00AF5C16"/>
    <w:rsid w:val="00BF5F18"/>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52E15523-A74C-4434-AC80-592B8102488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BF5F18"/>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253</Words>
  <Characters>1395</Characters>
  <Application>Microsoft Office Word</Application>
  <DocSecurity>0</DocSecurity>
  <Lines>11</Lines>
  <Paragraphs>3</Paragraphs>
  <ScaleCrop>false</ScaleCrop>
  <Company/>
  <LinksUpToDate>false</LinksUpToDate>
  <CharactersWithSpaces>1645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zenati</dc:creator>
  <cp:lastModifiedBy>naima</cp:lastModifiedBy>
  <cp:revision>3</cp:revision>
  <dcterms:created xsi:type="dcterms:W3CDTF">2017-10-18T10:51:00Z</dcterms:created>
  <dcterms:modified xsi:type="dcterms:W3CDTF">2018-02-12T13:17:00Z</dcterms:modified>
</cp:coreProperties>
</file>