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1860" w:rsidRDefault="006F1860" w:rsidP="006F1860">
      <w:r>
        <w:t xml:space="preserve">Cette thèse porte sur une étude théorique et expérimentale de l'atténuation des ondes ultrasonores se propageant dans des milieux légèrement hétérogènes. </w:t>
      </w:r>
    </w:p>
    <w:p w:rsidR="006F1860" w:rsidRDefault="006F1860" w:rsidP="006F1860">
      <w:r>
        <w:t xml:space="preserve">L'étude théorique est essentiellement consacrée aux  modèles théoriques de la diffusion des ondes ultrasonores dans des milieux faiblement hétérogènes et au calcul de l'atténuation qui en découle. Ces développement théoriques ont permis d'établir la relation qui exprime la dépendance de cette atténuation en fonction de la fréquence. </w:t>
      </w:r>
    </w:p>
    <w:p w:rsidR="006F1860" w:rsidRDefault="006F1860" w:rsidP="006F1860">
      <w:r>
        <w:t>L'atténuation dans les matériaux polycristallins est due principalement à la diffusion des ondes acoustiques causée par les variations des propriétés locales du milieu. Pour mettre ce phénomène en évidence, différents auteurs ont développé différentes théories parmi lesquelles on peut citer : la théorie des perturbations, la théorie de diffusion simple, approximation de Born, etc… Les calculs théoriques développés dans cette thèse mettent  en évidence tous les paramètres qui contribuent à l'atténuation et à l'expression analytique  de la dépendance de l'atténuation en fonction de la fréquence. Les résultats des calculs seront toutefois limités à la région de Rayleigh pour laquelle la taille des grains est très inférieure à la longueur d'onde. Les simulations numériques réalisées permettent de mettre en évidence la contribution de chaque paramètre intervenant dans l'expression de l'atténuation.</w:t>
      </w:r>
    </w:p>
    <w:p w:rsidR="006F1860" w:rsidRDefault="006F1860" w:rsidP="006F1860">
      <w:r>
        <w:t xml:space="preserve">L'étude expérimentale quant à elle,  porte sur la mesure de l'atténuation des ondes ultrasonores dans des échantillons métalliques de différentes nuances d'acier. Plusieurs  méthodes ont été utilisées aussi bien pour la mesure des vitesses de propagation (mesure directe du temps et maximum de la fonction d'intercorrélation) que pour la mesure de l'atténuation (mesure d'amplitude et division des spectres). </w:t>
      </w:r>
    </w:p>
    <w:p w:rsidR="006F1860" w:rsidRDefault="006F1860" w:rsidP="006F1860">
      <w:r>
        <w:t>Les résultats obtenus ont permis de mettre en évidence la dépendance du coefficient d'atténuation en fonction de la fréquence. L'interprétation de ces résultats est réalisée en utilisant les résultats de micrographies qui ont permis de déterminer la taille des grains constituant ces différents échantillons.</w:t>
      </w:r>
    </w:p>
    <w:p w:rsidR="006F1860" w:rsidRDefault="006F1860" w:rsidP="006F1860"/>
    <w:p w:rsidR="003F291A" w:rsidRDefault="003F291A" w:rsidP="003F291A"/>
    <w:p w:rsidR="003F291A" w:rsidRDefault="003F291A" w:rsidP="003F291A">
      <w:r>
        <w:t xml:space="preserve">    </w:t>
      </w:r>
    </w:p>
    <w:p w:rsidR="001D12B3" w:rsidRPr="003F291A" w:rsidRDefault="003F291A" w:rsidP="003F291A">
      <w:r>
        <w:t xml:space="preserve">    </w:t>
      </w:r>
      <w:r w:rsidR="00F76555" w:rsidRPr="003F291A">
        <w:t xml:space="preserve"> </w:t>
      </w:r>
    </w:p>
    <w:sectPr w:rsidR="001D12B3" w:rsidRPr="003F291A"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7291" w:rsidRDefault="00877291" w:rsidP="00C20DA6">
      <w:pPr>
        <w:spacing w:after="0" w:line="240" w:lineRule="auto"/>
      </w:pPr>
      <w:r>
        <w:separator/>
      </w:r>
    </w:p>
  </w:endnote>
  <w:endnote w:type="continuationSeparator" w:id="1">
    <w:p w:rsidR="00877291" w:rsidRDefault="00877291"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7291" w:rsidRDefault="00877291" w:rsidP="00C20DA6">
      <w:pPr>
        <w:spacing w:after="0" w:line="240" w:lineRule="auto"/>
      </w:pPr>
      <w:r>
        <w:separator/>
      </w:r>
    </w:p>
  </w:footnote>
  <w:footnote w:type="continuationSeparator" w:id="1">
    <w:p w:rsidR="00877291" w:rsidRDefault="00877291"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327</Words>
  <Characters>1803</Characters>
  <Application>Microsoft Office Word</Application>
  <DocSecurity>0</DocSecurity>
  <Lines>15</Lines>
  <Paragraphs>4</Paragraphs>
  <ScaleCrop>false</ScaleCrop>
  <Company/>
  <LinksUpToDate>false</LinksUpToDate>
  <CharactersWithSpaces>2126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125</cp:revision>
  <dcterms:created xsi:type="dcterms:W3CDTF">2015-10-29T10:00:00Z</dcterms:created>
  <dcterms:modified xsi:type="dcterms:W3CDTF">2015-11-26T08:31:00Z</dcterms:modified>
</cp:coreProperties>
</file>