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3DF" w:rsidRPr="00762F0B" w:rsidRDefault="009863DF" w:rsidP="009863DF">
      <w:pPr>
        <w:rPr>
          <w:rFonts w:cstheme="minorHAnsi"/>
          <w:sz w:val="24"/>
          <w:szCs w:val="24"/>
        </w:rPr>
      </w:pPr>
      <w:proofErr w:type="gramStart"/>
      <w:r w:rsidRPr="00D1112D">
        <w:rPr>
          <w:rFonts w:asciiTheme="majorBidi" w:hAnsiTheme="majorBidi" w:cstheme="majorBidi"/>
          <w:b/>
          <w:bCs/>
          <w:sz w:val="32"/>
          <w:szCs w:val="32"/>
          <w:u w:val="single"/>
        </w:rPr>
        <w:t>Résumé</w:t>
      </w:r>
      <w:r w:rsidRPr="00762F0B">
        <w:rPr>
          <w:rFonts w:cstheme="minorHAnsi"/>
          <w:sz w:val="24"/>
          <w:szCs w:val="24"/>
        </w:rPr>
        <w:t>:</w:t>
      </w:r>
      <w:proofErr w:type="gramEnd"/>
    </w:p>
    <w:p w:rsidR="009863DF" w:rsidRPr="00D1112D" w:rsidRDefault="009863DF" w:rsidP="009863DF">
      <w:pPr>
        <w:spacing w:after="60"/>
        <w:jc w:val="both"/>
        <w:rPr>
          <w:rFonts w:asciiTheme="majorBidi" w:hAnsiTheme="majorBidi" w:cstheme="majorBidi"/>
          <w:sz w:val="24"/>
          <w:szCs w:val="24"/>
        </w:rPr>
      </w:pPr>
      <w:r w:rsidRPr="00D1112D">
        <w:rPr>
          <w:rFonts w:asciiTheme="majorBidi" w:hAnsiTheme="majorBidi" w:cstheme="majorBidi"/>
          <w:sz w:val="24"/>
          <w:szCs w:val="24"/>
        </w:rPr>
        <w:t>Les acacias autochtones d'Algérie grâces à leurs adaptations aux milieux sahariens, elles représentent des arbres de choix pour des opérations de boisement visant à réhabiliter des milieux naturels du Sahara. Cependant, malgré l'importance écologique de ces espèces et leur potentiel d'utilisation leurs graines et la germination de celles-ci sont relativement peu connues. C’est pour ces raisons que nous avons jugé pertinent de contribuer à une meilleure connaissance de leurs caractères morphologiques, ultra-structuraux, biochimiques et physiologiques.</w:t>
      </w:r>
    </w:p>
    <w:p w:rsidR="009863DF" w:rsidRPr="00D1112D" w:rsidRDefault="009863DF" w:rsidP="009863DF">
      <w:pPr>
        <w:spacing w:after="60"/>
        <w:jc w:val="both"/>
        <w:rPr>
          <w:rFonts w:asciiTheme="majorBidi" w:hAnsiTheme="majorBidi" w:cstheme="majorBidi"/>
          <w:sz w:val="24"/>
          <w:szCs w:val="24"/>
        </w:rPr>
      </w:pPr>
      <w:r w:rsidRPr="00D1112D">
        <w:rPr>
          <w:rFonts w:asciiTheme="majorBidi" w:hAnsiTheme="majorBidi" w:cstheme="majorBidi"/>
          <w:sz w:val="24"/>
          <w:szCs w:val="24"/>
        </w:rPr>
        <w:t xml:space="preserve">Les résultats obtenus indiquent que mis à part la couleur et la forme, les graines de </w:t>
      </w:r>
      <w:r w:rsidRPr="00D1112D">
        <w:rPr>
          <w:rFonts w:asciiTheme="majorBidi" w:hAnsiTheme="majorBidi" w:cstheme="majorBidi"/>
          <w:i/>
          <w:iCs/>
          <w:sz w:val="24"/>
          <w:szCs w:val="24"/>
        </w:rPr>
        <w:t>Vachellia ehrenbergiana</w:t>
      </w:r>
      <w:r w:rsidRPr="00D1112D">
        <w:rPr>
          <w:rFonts w:asciiTheme="majorBidi" w:hAnsiTheme="majorBidi" w:cstheme="majorBidi"/>
          <w:sz w:val="24"/>
          <w:szCs w:val="24"/>
        </w:rPr>
        <w:t xml:space="preserve"> Hayne, </w:t>
      </w:r>
      <w:r w:rsidRPr="00D1112D">
        <w:rPr>
          <w:rFonts w:asciiTheme="majorBidi" w:hAnsiTheme="majorBidi" w:cstheme="majorBidi"/>
          <w:i/>
          <w:iCs/>
          <w:sz w:val="24"/>
          <w:szCs w:val="24"/>
        </w:rPr>
        <w:t>Vachellia seyal</w:t>
      </w:r>
      <w:r w:rsidRPr="00D1112D">
        <w:rPr>
          <w:rFonts w:asciiTheme="majorBidi" w:hAnsiTheme="majorBidi" w:cstheme="majorBidi"/>
          <w:sz w:val="24"/>
          <w:szCs w:val="24"/>
        </w:rPr>
        <w:t xml:space="preserve"> Del., </w:t>
      </w:r>
      <w:r w:rsidRPr="00D1112D">
        <w:rPr>
          <w:rFonts w:asciiTheme="majorBidi" w:hAnsiTheme="majorBidi" w:cstheme="majorBidi"/>
          <w:i/>
          <w:iCs/>
          <w:sz w:val="24"/>
          <w:szCs w:val="24"/>
        </w:rPr>
        <w:t>Vachellia tortilis</w:t>
      </w:r>
      <w:r w:rsidRPr="00D1112D">
        <w:rPr>
          <w:rFonts w:asciiTheme="majorBidi" w:hAnsiTheme="majorBidi" w:cstheme="majorBidi"/>
          <w:sz w:val="24"/>
          <w:szCs w:val="24"/>
        </w:rPr>
        <w:t xml:space="preserve"> (Forssk) Hayne subsp. </w:t>
      </w:r>
      <w:proofErr w:type="gramStart"/>
      <w:r w:rsidRPr="00D1112D">
        <w:rPr>
          <w:rFonts w:asciiTheme="majorBidi" w:hAnsiTheme="majorBidi" w:cstheme="majorBidi"/>
          <w:i/>
          <w:iCs/>
          <w:sz w:val="24"/>
          <w:szCs w:val="24"/>
        </w:rPr>
        <w:t>raddiana</w:t>
      </w:r>
      <w:proofErr w:type="gramEnd"/>
      <w:r w:rsidRPr="00D1112D">
        <w:rPr>
          <w:rFonts w:asciiTheme="majorBidi" w:hAnsiTheme="majorBidi" w:cstheme="majorBidi"/>
          <w:sz w:val="24"/>
          <w:szCs w:val="24"/>
        </w:rPr>
        <w:t xml:space="preserve"> (Savi) Brenan et </w:t>
      </w:r>
      <w:r w:rsidRPr="00D1112D">
        <w:rPr>
          <w:rFonts w:asciiTheme="majorBidi" w:hAnsiTheme="majorBidi" w:cstheme="majorBidi"/>
          <w:i/>
          <w:iCs/>
          <w:sz w:val="24"/>
          <w:szCs w:val="24"/>
        </w:rPr>
        <w:t>Vachellia nilotica</w:t>
      </w:r>
      <w:r w:rsidRPr="00D1112D">
        <w:rPr>
          <w:rFonts w:asciiTheme="majorBidi" w:hAnsiTheme="majorBidi" w:cstheme="majorBidi"/>
          <w:sz w:val="24"/>
          <w:szCs w:val="24"/>
        </w:rPr>
        <w:t xml:space="preserve"> (L.) </w:t>
      </w:r>
      <w:proofErr w:type="spellStart"/>
      <w:r w:rsidRPr="00D1112D">
        <w:rPr>
          <w:rFonts w:asciiTheme="majorBidi" w:hAnsiTheme="majorBidi" w:cstheme="majorBidi"/>
          <w:sz w:val="24"/>
          <w:szCs w:val="24"/>
        </w:rPr>
        <w:t>Willd</w:t>
      </w:r>
      <w:proofErr w:type="spellEnd"/>
      <w:r w:rsidRPr="00D1112D">
        <w:rPr>
          <w:rFonts w:asciiTheme="majorBidi" w:hAnsiTheme="majorBidi" w:cstheme="majorBidi"/>
          <w:sz w:val="24"/>
          <w:szCs w:val="24"/>
        </w:rPr>
        <w:t xml:space="preserve"> Del. </w:t>
      </w:r>
      <w:proofErr w:type="gramStart"/>
      <w:r w:rsidRPr="00D1112D">
        <w:rPr>
          <w:rFonts w:asciiTheme="majorBidi" w:hAnsiTheme="majorBidi" w:cstheme="majorBidi"/>
          <w:sz w:val="24"/>
          <w:szCs w:val="24"/>
        </w:rPr>
        <w:t>subsp</w:t>
      </w:r>
      <w:proofErr w:type="gramEnd"/>
      <w:r w:rsidRPr="00D1112D">
        <w:rPr>
          <w:rFonts w:asciiTheme="majorBidi" w:hAnsiTheme="majorBidi" w:cstheme="majorBidi"/>
          <w:sz w:val="24"/>
          <w:szCs w:val="24"/>
        </w:rPr>
        <w:t xml:space="preserve">. </w:t>
      </w:r>
      <w:proofErr w:type="spellStart"/>
      <w:proofErr w:type="gramStart"/>
      <w:r w:rsidRPr="00D1112D">
        <w:rPr>
          <w:rFonts w:asciiTheme="majorBidi" w:hAnsiTheme="majorBidi" w:cstheme="majorBidi"/>
          <w:i/>
          <w:iCs/>
          <w:sz w:val="24"/>
          <w:szCs w:val="24"/>
        </w:rPr>
        <w:t>adstringens</w:t>
      </w:r>
      <w:proofErr w:type="spellEnd"/>
      <w:proofErr w:type="gramEnd"/>
      <w:r w:rsidRPr="00D1112D">
        <w:rPr>
          <w:rFonts w:asciiTheme="majorBidi" w:hAnsiTheme="majorBidi" w:cstheme="majorBidi"/>
          <w:sz w:val="24"/>
          <w:szCs w:val="24"/>
        </w:rPr>
        <w:t xml:space="preserve"> (</w:t>
      </w:r>
      <w:proofErr w:type="spellStart"/>
      <w:r w:rsidRPr="00D1112D">
        <w:rPr>
          <w:rFonts w:asciiTheme="majorBidi" w:hAnsiTheme="majorBidi" w:cstheme="majorBidi"/>
          <w:sz w:val="24"/>
          <w:szCs w:val="24"/>
        </w:rPr>
        <w:t>Schum</w:t>
      </w:r>
      <w:proofErr w:type="spellEnd"/>
      <w:r w:rsidRPr="00D1112D">
        <w:rPr>
          <w:rFonts w:asciiTheme="majorBidi" w:hAnsiTheme="majorBidi" w:cstheme="majorBidi"/>
          <w:sz w:val="24"/>
          <w:szCs w:val="24"/>
        </w:rPr>
        <w:t xml:space="preserve">. &amp; </w:t>
      </w:r>
      <w:proofErr w:type="spellStart"/>
      <w:r w:rsidRPr="00D1112D">
        <w:rPr>
          <w:rFonts w:asciiTheme="majorBidi" w:hAnsiTheme="majorBidi" w:cstheme="majorBidi"/>
          <w:sz w:val="24"/>
          <w:szCs w:val="24"/>
        </w:rPr>
        <w:t>Thonn</w:t>
      </w:r>
      <w:proofErr w:type="spellEnd"/>
      <w:r w:rsidRPr="00D1112D">
        <w:rPr>
          <w:rFonts w:asciiTheme="majorBidi" w:hAnsiTheme="majorBidi" w:cstheme="majorBidi"/>
          <w:sz w:val="24"/>
          <w:szCs w:val="24"/>
        </w:rPr>
        <w:t xml:space="preserve">.) Roberty ont révélé des caractères morphologiques, </w:t>
      </w:r>
      <w:proofErr w:type="spellStart"/>
      <w:r w:rsidRPr="00D1112D">
        <w:rPr>
          <w:rFonts w:asciiTheme="majorBidi" w:hAnsiTheme="majorBidi" w:cstheme="majorBidi"/>
          <w:sz w:val="24"/>
          <w:szCs w:val="24"/>
        </w:rPr>
        <w:t>ultrastructuraux</w:t>
      </w:r>
      <w:proofErr w:type="spellEnd"/>
      <w:r w:rsidRPr="00D1112D">
        <w:rPr>
          <w:rFonts w:asciiTheme="majorBidi" w:hAnsiTheme="majorBidi" w:cstheme="majorBidi"/>
          <w:sz w:val="24"/>
          <w:szCs w:val="24"/>
        </w:rPr>
        <w:t xml:space="preserve"> et biochimiques similaires telle que la forme de hile et du micropyle, les couches cellulaires des téguments, les teneurs en protéines, sucres et lipides.  </w:t>
      </w:r>
    </w:p>
    <w:p w:rsidR="009863DF" w:rsidRPr="00D1112D" w:rsidRDefault="009863DF" w:rsidP="009863DF">
      <w:pPr>
        <w:spacing w:after="60"/>
        <w:jc w:val="both"/>
        <w:rPr>
          <w:rFonts w:asciiTheme="majorBidi" w:hAnsiTheme="majorBidi" w:cstheme="majorBidi"/>
          <w:sz w:val="24"/>
          <w:szCs w:val="24"/>
        </w:rPr>
      </w:pPr>
      <w:r w:rsidRPr="00D1112D">
        <w:rPr>
          <w:rFonts w:asciiTheme="majorBidi" w:hAnsiTheme="majorBidi" w:cstheme="majorBidi"/>
          <w:sz w:val="24"/>
          <w:szCs w:val="24"/>
        </w:rPr>
        <w:t xml:space="preserve">Les seules différences notables que nous avons enregistrées entre les graines de ces quatre </w:t>
      </w:r>
      <w:proofErr w:type="gramStart"/>
      <w:r w:rsidRPr="00D1112D">
        <w:rPr>
          <w:rFonts w:asciiTheme="majorBidi" w:hAnsiTheme="majorBidi" w:cstheme="majorBidi"/>
          <w:sz w:val="24"/>
          <w:szCs w:val="24"/>
        </w:rPr>
        <w:t>espèces</w:t>
      </w:r>
      <w:proofErr w:type="gramEnd"/>
      <w:r w:rsidRPr="00D1112D">
        <w:rPr>
          <w:rFonts w:asciiTheme="majorBidi" w:hAnsiTheme="majorBidi" w:cstheme="majorBidi"/>
          <w:sz w:val="24"/>
          <w:szCs w:val="24"/>
        </w:rPr>
        <w:t xml:space="preserve"> ont porté sur l’efficacité des moyens de levée de leur dormance tégumentaire et leur comportement vis-à-vis du stress salin et du stress hydrique. En effet, les résultats obtenus ont permis de montrer que le meilleur moyen de levée la dormance des graines de </w:t>
      </w:r>
      <w:r w:rsidRPr="00D1112D">
        <w:rPr>
          <w:rFonts w:asciiTheme="majorBidi" w:hAnsiTheme="majorBidi" w:cstheme="majorBidi"/>
          <w:i/>
          <w:iCs/>
          <w:sz w:val="24"/>
          <w:szCs w:val="24"/>
        </w:rPr>
        <w:t>Vachellia ehrenbergiana</w:t>
      </w:r>
      <w:r w:rsidRPr="00D1112D">
        <w:rPr>
          <w:rFonts w:asciiTheme="majorBidi" w:hAnsiTheme="majorBidi" w:cstheme="majorBidi"/>
          <w:sz w:val="24"/>
          <w:szCs w:val="24"/>
        </w:rPr>
        <w:t xml:space="preserve"> Hayne, </w:t>
      </w:r>
      <w:r w:rsidRPr="00D1112D">
        <w:rPr>
          <w:rFonts w:asciiTheme="majorBidi" w:hAnsiTheme="majorBidi" w:cstheme="majorBidi"/>
          <w:i/>
          <w:iCs/>
          <w:sz w:val="24"/>
          <w:szCs w:val="24"/>
        </w:rPr>
        <w:t>Vachellia tortilis</w:t>
      </w:r>
      <w:r w:rsidRPr="00D1112D">
        <w:rPr>
          <w:rFonts w:asciiTheme="majorBidi" w:hAnsiTheme="majorBidi" w:cstheme="majorBidi"/>
          <w:sz w:val="24"/>
          <w:szCs w:val="24"/>
        </w:rPr>
        <w:t xml:space="preserve"> (Forssk) Hayne subsp. </w:t>
      </w:r>
      <w:proofErr w:type="gramStart"/>
      <w:r w:rsidRPr="00D1112D">
        <w:rPr>
          <w:rFonts w:asciiTheme="majorBidi" w:hAnsiTheme="majorBidi" w:cstheme="majorBidi"/>
          <w:i/>
          <w:iCs/>
          <w:sz w:val="24"/>
          <w:szCs w:val="24"/>
        </w:rPr>
        <w:t>raddiana</w:t>
      </w:r>
      <w:proofErr w:type="gramEnd"/>
      <w:r w:rsidRPr="00D1112D">
        <w:rPr>
          <w:rFonts w:asciiTheme="majorBidi" w:hAnsiTheme="majorBidi" w:cstheme="majorBidi"/>
          <w:sz w:val="24"/>
          <w:szCs w:val="24"/>
        </w:rPr>
        <w:t xml:space="preserve"> (Savi) Brenan et </w:t>
      </w:r>
      <w:r w:rsidRPr="00D1112D">
        <w:rPr>
          <w:rFonts w:asciiTheme="majorBidi" w:hAnsiTheme="majorBidi" w:cstheme="majorBidi"/>
          <w:i/>
          <w:iCs/>
          <w:sz w:val="24"/>
          <w:szCs w:val="24"/>
        </w:rPr>
        <w:t>Vachellia nilotica</w:t>
      </w:r>
      <w:r w:rsidRPr="00D1112D">
        <w:rPr>
          <w:rFonts w:asciiTheme="majorBidi" w:hAnsiTheme="majorBidi" w:cstheme="majorBidi"/>
          <w:sz w:val="24"/>
          <w:szCs w:val="24"/>
        </w:rPr>
        <w:t xml:space="preserve"> (L.) </w:t>
      </w:r>
      <w:proofErr w:type="spellStart"/>
      <w:r w:rsidRPr="00D1112D">
        <w:rPr>
          <w:rFonts w:asciiTheme="majorBidi" w:hAnsiTheme="majorBidi" w:cstheme="majorBidi"/>
          <w:sz w:val="24"/>
          <w:szCs w:val="24"/>
        </w:rPr>
        <w:t>Willd</w:t>
      </w:r>
      <w:proofErr w:type="spellEnd"/>
      <w:r w:rsidRPr="00D1112D">
        <w:rPr>
          <w:rFonts w:asciiTheme="majorBidi" w:hAnsiTheme="majorBidi" w:cstheme="majorBidi"/>
          <w:sz w:val="24"/>
          <w:szCs w:val="24"/>
        </w:rPr>
        <w:t xml:space="preserve"> Del. </w:t>
      </w:r>
      <w:proofErr w:type="gramStart"/>
      <w:r w:rsidRPr="00D1112D">
        <w:rPr>
          <w:rFonts w:asciiTheme="majorBidi" w:hAnsiTheme="majorBidi" w:cstheme="majorBidi"/>
          <w:sz w:val="24"/>
          <w:szCs w:val="24"/>
        </w:rPr>
        <w:t>subsp</w:t>
      </w:r>
      <w:proofErr w:type="gramEnd"/>
      <w:r w:rsidRPr="00D1112D">
        <w:rPr>
          <w:rFonts w:asciiTheme="majorBidi" w:hAnsiTheme="majorBidi" w:cstheme="majorBidi"/>
          <w:sz w:val="24"/>
          <w:szCs w:val="24"/>
        </w:rPr>
        <w:t xml:space="preserve">. </w:t>
      </w:r>
      <w:proofErr w:type="spellStart"/>
      <w:proofErr w:type="gramStart"/>
      <w:r w:rsidRPr="00D1112D">
        <w:rPr>
          <w:rFonts w:asciiTheme="majorBidi" w:hAnsiTheme="majorBidi" w:cstheme="majorBidi"/>
          <w:i/>
          <w:iCs/>
          <w:sz w:val="24"/>
          <w:szCs w:val="24"/>
        </w:rPr>
        <w:t>adstringens</w:t>
      </w:r>
      <w:proofErr w:type="spellEnd"/>
      <w:proofErr w:type="gramEnd"/>
      <w:r w:rsidRPr="00D1112D">
        <w:rPr>
          <w:rFonts w:asciiTheme="majorBidi" w:hAnsiTheme="majorBidi" w:cstheme="majorBidi"/>
          <w:sz w:val="24"/>
          <w:szCs w:val="24"/>
        </w:rPr>
        <w:t xml:space="preserve"> (</w:t>
      </w:r>
      <w:proofErr w:type="spellStart"/>
      <w:r w:rsidRPr="00D1112D">
        <w:rPr>
          <w:rFonts w:asciiTheme="majorBidi" w:hAnsiTheme="majorBidi" w:cstheme="majorBidi"/>
          <w:sz w:val="24"/>
          <w:szCs w:val="24"/>
        </w:rPr>
        <w:t>Schum</w:t>
      </w:r>
      <w:proofErr w:type="spellEnd"/>
      <w:r w:rsidRPr="00D1112D">
        <w:rPr>
          <w:rFonts w:asciiTheme="majorBidi" w:hAnsiTheme="majorBidi" w:cstheme="majorBidi"/>
          <w:sz w:val="24"/>
          <w:szCs w:val="24"/>
        </w:rPr>
        <w:t xml:space="preserve">. &amp; </w:t>
      </w:r>
      <w:proofErr w:type="spellStart"/>
      <w:r w:rsidRPr="00D1112D">
        <w:rPr>
          <w:rFonts w:asciiTheme="majorBidi" w:hAnsiTheme="majorBidi" w:cstheme="majorBidi"/>
          <w:sz w:val="24"/>
          <w:szCs w:val="24"/>
        </w:rPr>
        <w:t>Thonn</w:t>
      </w:r>
      <w:proofErr w:type="spellEnd"/>
      <w:r w:rsidRPr="00D1112D">
        <w:rPr>
          <w:rFonts w:asciiTheme="majorBidi" w:hAnsiTheme="majorBidi" w:cstheme="majorBidi"/>
          <w:sz w:val="24"/>
          <w:szCs w:val="24"/>
        </w:rPr>
        <w:t xml:space="preserve">.) Roberty consiste en une scarification manuelle alors que pour </w:t>
      </w:r>
      <w:r w:rsidRPr="00D1112D">
        <w:rPr>
          <w:rFonts w:asciiTheme="majorBidi" w:hAnsiTheme="majorBidi" w:cstheme="majorBidi"/>
          <w:i/>
          <w:iCs/>
          <w:sz w:val="24"/>
          <w:szCs w:val="24"/>
        </w:rPr>
        <w:t>Vachellia seyal</w:t>
      </w:r>
      <w:r w:rsidRPr="00D1112D">
        <w:rPr>
          <w:rFonts w:asciiTheme="majorBidi" w:hAnsiTheme="majorBidi" w:cstheme="majorBidi"/>
          <w:sz w:val="24"/>
          <w:szCs w:val="24"/>
        </w:rPr>
        <w:t xml:space="preserve"> Del. </w:t>
      </w:r>
      <w:proofErr w:type="gramStart"/>
      <w:r w:rsidRPr="00D1112D">
        <w:rPr>
          <w:rFonts w:asciiTheme="majorBidi" w:hAnsiTheme="majorBidi" w:cstheme="majorBidi"/>
          <w:sz w:val="24"/>
          <w:szCs w:val="24"/>
        </w:rPr>
        <w:t>c’est</w:t>
      </w:r>
      <w:proofErr w:type="gramEnd"/>
      <w:r w:rsidRPr="00D1112D">
        <w:rPr>
          <w:rFonts w:asciiTheme="majorBidi" w:hAnsiTheme="majorBidi" w:cstheme="majorBidi"/>
          <w:sz w:val="24"/>
          <w:szCs w:val="24"/>
        </w:rPr>
        <w:t xml:space="preserve"> l’acide sulfurique concentré qui permet d’obtenir les meilleurs résultats.</w:t>
      </w:r>
    </w:p>
    <w:p w:rsidR="009863DF" w:rsidRPr="00D1112D" w:rsidRDefault="009863DF" w:rsidP="009863DF">
      <w:pPr>
        <w:spacing w:after="60"/>
        <w:jc w:val="both"/>
        <w:rPr>
          <w:rFonts w:asciiTheme="majorBidi" w:hAnsiTheme="majorBidi" w:cstheme="majorBidi"/>
          <w:sz w:val="24"/>
          <w:szCs w:val="24"/>
        </w:rPr>
      </w:pPr>
      <w:r w:rsidRPr="00D1112D">
        <w:rPr>
          <w:rFonts w:asciiTheme="majorBidi" w:hAnsiTheme="majorBidi" w:cstheme="majorBidi"/>
          <w:sz w:val="24"/>
          <w:szCs w:val="24"/>
        </w:rPr>
        <w:t xml:space="preserve">Cette singularité de </w:t>
      </w:r>
      <w:r w:rsidRPr="00D1112D">
        <w:rPr>
          <w:rFonts w:asciiTheme="majorBidi" w:hAnsiTheme="majorBidi" w:cstheme="majorBidi"/>
          <w:i/>
          <w:iCs/>
          <w:sz w:val="24"/>
          <w:szCs w:val="24"/>
        </w:rPr>
        <w:t>Vachellia</w:t>
      </w:r>
      <w:r w:rsidRPr="00D1112D">
        <w:rPr>
          <w:rFonts w:asciiTheme="majorBidi" w:hAnsiTheme="majorBidi" w:cstheme="majorBidi"/>
          <w:sz w:val="24"/>
          <w:szCs w:val="24"/>
        </w:rPr>
        <w:t xml:space="preserve"> </w:t>
      </w:r>
      <w:r w:rsidRPr="00D1112D">
        <w:rPr>
          <w:rFonts w:asciiTheme="majorBidi" w:hAnsiTheme="majorBidi" w:cstheme="majorBidi"/>
          <w:i/>
          <w:iCs/>
          <w:sz w:val="24"/>
          <w:szCs w:val="24"/>
        </w:rPr>
        <w:t>seya</w:t>
      </w:r>
      <w:r w:rsidRPr="00D1112D">
        <w:rPr>
          <w:rFonts w:asciiTheme="majorBidi" w:hAnsiTheme="majorBidi" w:cstheme="majorBidi"/>
          <w:sz w:val="24"/>
          <w:szCs w:val="24"/>
        </w:rPr>
        <w:t xml:space="preserve">l Del. </w:t>
      </w:r>
      <w:proofErr w:type="gramStart"/>
      <w:r w:rsidRPr="00D1112D">
        <w:rPr>
          <w:rFonts w:asciiTheme="majorBidi" w:hAnsiTheme="majorBidi" w:cstheme="majorBidi"/>
          <w:sz w:val="24"/>
          <w:szCs w:val="24"/>
        </w:rPr>
        <w:t>a</w:t>
      </w:r>
      <w:proofErr w:type="gramEnd"/>
      <w:r w:rsidRPr="00D1112D">
        <w:rPr>
          <w:rFonts w:asciiTheme="majorBidi" w:hAnsiTheme="majorBidi" w:cstheme="majorBidi"/>
          <w:sz w:val="24"/>
          <w:szCs w:val="24"/>
        </w:rPr>
        <w:t xml:space="preserve"> également été observée dans le cas de la tolérance de la germination des graines en conditions de stress salin et hydrique. En effet, la germination des graines de cette espèce s’est montrée nettement plus sensible à la présence dans l’eau d’imbibition de </w:t>
      </w:r>
      <w:proofErr w:type="spellStart"/>
      <w:r w:rsidRPr="00D1112D">
        <w:rPr>
          <w:rFonts w:asciiTheme="majorBidi" w:hAnsiTheme="majorBidi" w:cstheme="majorBidi"/>
          <w:sz w:val="24"/>
          <w:szCs w:val="24"/>
        </w:rPr>
        <w:t>NaCl</w:t>
      </w:r>
      <w:proofErr w:type="spellEnd"/>
      <w:r w:rsidRPr="00D1112D">
        <w:rPr>
          <w:rFonts w:asciiTheme="majorBidi" w:hAnsiTheme="majorBidi" w:cstheme="majorBidi"/>
          <w:sz w:val="24"/>
          <w:szCs w:val="24"/>
        </w:rPr>
        <w:t xml:space="preserve"> ou de PEG</w:t>
      </w:r>
      <w:r w:rsidRPr="00D1112D">
        <w:rPr>
          <w:rFonts w:asciiTheme="majorBidi" w:hAnsiTheme="majorBidi" w:cstheme="majorBidi"/>
          <w:sz w:val="24"/>
          <w:szCs w:val="24"/>
          <w:vertAlign w:val="subscript"/>
        </w:rPr>
        <w:t>6000</w:t>
      </w:r>
      <w:r w:rsidRPr="00D1112D">
        <w:rPr>
          <w:rFonts w:asciiTheme="majorBidi" w:hAnsiTheme="majorBidi" w:cstheme="majorBidi"/>
          <w:sz w:val="24"/>
          <w:szCs w:val="24"/>
        </w:rPr>
        <w:t xml:space="preserve"> que celles des trois autres espèces.</w:t>
      </w:r>
    </w:p>
    <w:p w:rsidR="009863DF" w:rsidRPr="00D1112D" w:rsidRDefault="009863DF" w:rsidP="009863DF">
      <w:pPr>
        <w:jc w:val="both"/>
        <w:rPr>
          <w:rFonts w:asciiTheme="majorBidi" w:hAnsiTheme="majorBidi" w:cstheme="majorBidi"/>
          <w:b/>
          <w:bCs/>
          <w:sz w:val="24"/>
          <w:szCs w:val="24"/>
        </w:rPr>
      </w:pPr>
      <w:r w:rsidRPr="00D1112D">
        <w:rPr>
          <w:rFonts w:asciiTheme="majorBidi" w:hAnsiTheme="majorBidi" w:cstheme="majorBidi"/>
          <w:sz w:val="24"/>
          <w:szCs w:val="24"/>
        </w:rPr>
        <w:t xml:space="preserve">Ces résultats indiquent la tolérance de </w:t>
      </w:r>
      <w:r w:rsidRPr="00D1112D">
        <w:rPr>
          <w:rFonts w:asciiTheme="majorBidi" w:hAnsiTheme="majorBidi" w:cstheme="majorBidi"/>
          <w:i/>
          <w:iCs/>
          <w:sz w:val="24"/>
          <w:szCs w:val="24"/>
        </w:rPr>
        <w:t>V. ehrenbergiana</w:t>
      </w:r>
      <w:r w:rsidRPr="00D1112D">
        <w:rPr>
          <w:rFonts w:asciiTheme="majorBidi" w:hAnsiTheme="majorBidi" w:cstheme="majorBidi"/>
          <w:sz w:val="24"/>
          <w:szCs w:val="24"/>
        </w:rPr>
        <w:t xml:space="preserve"> Hayne, </w:t>
      </w:r>
      <w:r w:rsidRPr="00D1112D">
        <w:rPr>
          <w:rFonts w:asciiTheme="majorBidi" w:hAnsiTheme="majorBidi" w:cstheme="majorBidi"/>
          <w:i/>
          <w:iCs/>
          <w:sz w:val="24"/>
          <w:szCs w:val="24"/>
        </w:rPr>
        <w:t>V. tortilis</w:t>
      </w:r>
      <w:r w:rsidRPr="00D1112D">
        <w:rPr>
          <w:rFonts w:asciiTheme="majorBidi" w:hAnsiTheme="majorBidi" w:cstheme="majorBidi"/>
          <w:sz w:val="24"/>
          <w:szCs w:val="24"/>
        </w:rPr>
        <w:t xml:space="preserve"> (Forssk) Hayne subsp. </w:t>
      </w:r>
      <w:proofErr w:type="gramStart"/>
      <w:r w:rsidRPr="00D1112D">
        <w:rPr>
          <w:rFonts w:asciiTheme="majorBidi" w:hAnsiTheme="majorBidi" w:cstheme="majorBidi"/>
          <w:i/>
          <w:iCs/>
          <w:sz w:val="24"/>
          <w:szCs w:val="24"/>
        </w:rPr>
        <w:t>raddiana</w:t>
      </w:r>
      <w:proofErr w:type="gramEnd"/>
      <w:r w:rsidRPr="00D1112D">
        <w:rPr>
          <w:rFonts w:asciiTheme="majorBidi" w:hAnsiTheme="majorBidi" w:cstheme="majorBidi"/>
          <w:sz w:val="24"/>
          <w:szCs w:val="24"/>
        </w:rPr>
        <w:t xml:space="preserve"> (Savi) Brenan et </w:t>
      </w:r>
      <w:r w:rsidRPr="00D1112D">
        <w:rPr>
          <w:rFonts w:asciiTheme="majorBidi" w:hAnsiTheme="majorBidi" w:cstheme="majorBidi"/>
          <w:i/>
          <w:iCs/>
          <w:sz w:val="24"/>
          <w:szCs w:val="24"/>
        </w:rPr>
        <w:t>Vachellia nilotica</w:t>
      </w:r>
      <w:r w:rsidRPr="00D1112D">
        <w:rPr>
          <w:rFonts w:asciiTheme="majorBidi" w:hAnsiTheme="majorBidi" w:cstheme="majorBidi"/>
          <w:sz w:val="24"/>
          <w:szCs w:val="24"/>
        </w:rPr>
        <w:t xml:space="preserve"> (L.) </w:t>
      </w:r>
      <w:proofErr w:type="spellStart"/>
      <w:r w:rsidRPr="00D1112D">
        <w:rPr>
          <w:rFonts w:asciiTheme="majorBidi" w:hAnsiTheme="majorBidi" w:cstheme="majorBidi"/>
          <w:sz w:val="24"/>
          <w:szCs w:val="24"/>
        </w:rPr>
        <w:t>Willd</w:t>
      </w:r>
      <w:proofErr w:type="spellEnd"/>
      <w:r w:rsidRPr="00D1112D">
        <w:rPr>
          <w:rFonts w:asciiTheme="majorBidi" w:hAnsiTheme="majorBidi" w:cstheme="majorBidi"/>
          <w:sz w:val="24"/>
          <w:szCs w:val="24"/>
        </w:rPr>
        <w:t xml:space="preserve"> Del. </w:t>
      </w:r>
      <w:proofErr w:type="gramStart"/>
      <w:r w:rsidRPr="00D1112D">
        <w:rPr>
          <w:rFonts w:asciiTheme="majorBidi" w:hAnsiTheme="majorBidi" w:cstheme="majorBidi"/>
          <w:sz w:val="24"/>
          <w:szCs w:val="24"/>
        </w:rPr>
        <w:t>subsp</w:t>
      </w:r>
      <w:proofErr w:type="gramEnd"/>
      <w:r w:rsidRPr="00D1112D">
        <w:rPr>
          <w:rFonts w:asciiTheme="majorBidi" w:hAnsiTheme="majorBidi" w:cstheme="majorBidi"/>
          <w:sz w:val="24"/>
          <w:szCs w:val="24"/>
        </w:rPr>
        <w:t xml:space="preserve">. </w:t>
      </w:r>
      <w:proofErr w:type="spellStart"/>
      <w:proofErr w:type="gramStart"/>
      <w:r w:rsidRPr="00D1112D">
        <w:rPr>
          <w:rFonts w:asciiTheme="majorBidi" w:hAnsiTheme="majorBidi" w:cstheme="majorBidi"/>
          <w:i/>
          <w:iCs/>
          <w:sz w:val="24"/>
          <w:szCs w:val="24"/>
        </w:rPr>
        <w:t>adstringens</w:t>
      </w:r>
      <w:proofErr w:type="spellEnd"/>
      <w:proofErr w:type="gramEnd"/>
      <w:r w:rsidRPr="00D1112D">
        <w:rPr>
          <w:rFonts w:asciiTheme="majorBidi" w:hAnsiTheme="majorBidi" w:cstheme="majorBidi"/>
          <w:sz w:val="24"/>
          <w:szCs w:val="24"/>
        </w:rPr>
        <w:t xml:space="preserve"> (</w:t>
      </w:r>
      <w:proofErr w:type="spellStart"/>
      <w:r w:rsidRPr="00D1112D">
        <w:rPr>
          <w:rFonts w:asciiTheme="majorBidi" w:hAnsiTheme="majorBidi" w:cstheme="majorBidi"/>
          <w:sz w:val="24"/>
          <w:szCs w:val="24"/>
        </w:rPr>
        <w:t>Schum</w:t>
      </w:r>
      <w:proofErr w:type="spellEnd"/>
      <w:r w:rsidRPr="00D1112D">
        <w:rPr>
          <w:rFonts w:asciiTheme="majorBidi" w:hAnsiTheme="majorBidi" w:cstheme="majorBidi"/>
          <w:sz w:val="24"/>
          <w:szCs w:val="24"/>
        </w:rPr>
        <w:t xml:space="preserve">. &amp; </w:t>
      </w:r>
      <w:proofErr w:type="spellStart"/>
      <w:r w:rsidRPr="00D1112D">
        <w:rPr>
          <w:rFonts w:asciiTheme="majorBidi" w:hAnsiTheme="majorBidi" w:cstheme="majorBidi"/>
          <w:sz w:val="24"/>
          <w:szCs w:val="24"/>
        </w:rPr>
        <w:t>Thonn</w:t>
      </w:r>
      <w:proofErr w:type="spellEnd"/>
      <w:r w:rsidRPr="00D1112D">
        <w:rPr>
          <w:rFonts w:asciiTheme="majorBidi" w:hAnsiTheme="majorBidi" w:cstheme="majorBidi"/>
          <w:sz w:val="24"/>
          <w:szCs w:val="24"/>
        </w:rPr>
        <w:t xml:space="preserve">.) Roberty au deux contraintes importantes dans les régions désertiques d'Algérie qui constituent un bon choix et pourraient exploiter à la réhabilitation et les programmes de boisement dans ces </w:t>
      </w:r>
      <w:proofErr w:type="spellStart"/>
      <w:r w:rsidRPr="00D1112D">
        <w:rPr>
          <w:rFonts w:asciiTheme="majorBidi" w:hAnsiTheme="majorBidi" w:cstheme="majorBidi"/>
          <w:sz w:val="24"/>
          <w:szCs w:val="24"/>
        </w:rPr>
        <w:t>mileux</w:t>
      </w:r>
      <w:proofErr w:type="spellEnd"/>
      <w:r w:rsidRPr="00D1112D">
        <w:rPr>
          <w:rFonts w:asciiTheme="majorBidi" w:hAnsiTheme="majorBidi" w:cstheme="majorBidi"/>
          <w:sz w:val="24"/>
          <w:szCs w:val="24"/>
        </w:rPr>
        <w:t>.</w:t>
      </w:r>
      <w:r w:rsidRPr="00D1112D">
        <w:rPr>
          <w:rFonts w:asciiTheme="majorBidi" w:hAnsiTheme="majorBidi" w:cstheme="majorBidi"/>
          <w:b/>
          <w:bCs/>
          <w:sz w:val="24"/>
          <w:szCs w:val="24"/>
        </w:rPr>
        <w:t xml:space="preserve"> </w:t>
      </w:r>
    </w:p>
    <w:p w:rsidR="009A432F" w:rsidRDefault="009A432F">
      <w:bookmarkStart w:id="0" w:name="_GoBack"/>
      <w:bookmarkEnd w:id="0"/>
    </w:p>
    <w:sectPr w:rsidR="009A43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2"/>
  </w:compat>
  <w:rsids>
    <w:rsidRoot w:val="009863DF"/>
    <w:rsid w:val="009863DF"/>
    <w:rsid w:val="009A432F"/>
    <w:rsid w:val="00D1112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0CE00D-3731-4FC7-82D7-AD6CEDBA0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386</Words>
  <Characters>2128</Characters>
  <Application>Microsoft Office Word</Application>
  <DocSecurity>0</DocSecurity>
  <Lines>17</Lines>
  <Paragraphs>5</Paragraphs>
  <ScaleCrop>false</ScaleCrop>
  <Company/>
  <LinksUpToDate>false</LinksUpToDate>
  <CharactersWithSpaces>2509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naima</cp:lastModifiedBy>
  <cp:revision>4</cp:revision>
  <dcterms:created xsi:type="dcterms:W3CDTF">2018-07-17T06:06:00Z</dcterms:created>
  <dcterms:modified xsi:type="dcterms:W3CDTF">2018-10-15T11:22:00Z</dcterms:modified>
</cp:coreProperties>
</file>