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0D33" w:rsidRPr="00B30D33" w:rsidRDefault="00B30D33" w:rsidP="00B30D33">
      <w:pPr>
        <w:bidi w:val="0"/>
        <w:rPr>
          <w:lang w:val="fr-FR" w:bidi="ar-DZ"/>
        </w:rPr>
      </w:pPr>
      <w:r w:rsidRPr="00B30D33">
        <w:rPr>
          <w:lang w:val="fr-FR" w:bidi="ar-DZ"/>
        </w:rPr>
        <w:t>Le pluton granitique panafricain d'In Tounine de forme subcirculaire et d'orientation NW-SE, affleure dans le terrane de Laouni (métacraton LATEA,) à une quinzaine de kilomètres au nord ouest de la ville de Tamanrasset. L'âge de mise en place de ce pluton est fixé à  552 ± 3.2Ma (SHRIMP-U-Pb  zircon) et est contrôlée par la faille  majeure de Tanaout  de même orientation. Ce pluton panafricain recoupe un socle éburnéen essentiellement granulitique remobilisé par l'orogenèse panafricaine. L'étude pétrographique et géochimique a permis de mettre en évidences 6 faciès principaux.</w:t>
      </w:r>
    </w:p>
    <w:p w:rsidR="00B30D33" w:rsidRPr="00B30D33" w:rsidRDefault="00B30D33" w:rsidP="00B30D33">
      <w:pPr>
        <w:bidi w:val="0"/>
        <w:rPr>
          <w:lang w:val="fr-FR" w:bidi="ar-DZ"/>
        </w:rPr>
      </w:pPr>
      <w:r w:rsidRPr="00B30D33">
        <w:rPr>
          <w:lang w:val="fr-FR" w:bidi="ar-DZ"/>
        </w:rPr>
        <w:t xml:space="preserve">Ce sont des roches essentiellement évoluées (71%&lt;SiO2%&lt;77%) caractérisées selon les différents faciès par une association minéralogique assez homogène et simple à quartz, biotite, avec abondance de feldspaths potassiques par apport aux plagioclases et parfois cordiérite et topaze. Les cordiérites apparaissent d'une manière assez particulière donnant au faciès qui les renferme un aspect moucheté. Ces cordiérites sont caractérisées par une auréole quartzo-feldspathique qui les sépare systématiquement des autres phases minérales. </w:t>
      </w:r>
    </w:p>
    <w:p w:rsidR="00FA490D" w:rsidRPr="00B30D33" w:rsidRDefault="00B30D33" w:rsidP="00B30D33">
      <w:pPr>
        <w:bidi w:val="0"/>
        <w:rPr>
          <w:rFonts w:hint="cs"/>
          <w:lang w:val="fr-FR" w:bidi="ar-DZ"/>
        </w:rPr>
      </w:pPr>
      <w:r w:rsidRPr="00B30D33">
        <w:rPr>
          <w:lang w:val="fr-FR" w:bidi="ar-DZ"/>
        </w:rPr>
        <w:t>Les granites qui forment le pluton de l'In Tounine correspondent à des syénogranites et à des granites à feldspaths alcalins. L'ensemble de ces roches présente un caractère peralumineux (0,95&lt;A/CNK&lt;1,24), elles sont riches en alcalins (Na2O et K2O) et ont de faibles teneurs en MgO &lt;&lt;0,4%. Ce sont des granites de type ‹‹S›› des environnements post-collisionnels ( Highly Fractionated Calc-Alkaline granites). Les spectres de terres rares sont caractérisés par un enrichissement en terres rares légères, et des spectres presque plats en terres rares lourdes. Les anomalies négatives en europium sont bien marquées.  Les anomalies négative en Nb-Ta ainsi que les valeurs isotopiques variables de l'oxygène (9,5 ‰ &lt;18O &lt; 11,30 ‰ ) suggèrent une importante contribution de croute métasédimentaire dans la genèse de ces roches par un probable processus d'AFC. Ces caractéristiques indiquent un chimisme alcali-calcique  typique des environnements transitionnels tardi à post-collisionnels. La données isotopiques du Sr (0,5710 &lt; Isr &lt; 0,833801) et  du Nd (-10&lt;Nd&lt;-17) ainsi que les âges modèles TDM compris entre 1,9 et 2,3 Ga indiquent une source essentiellement dans la croute continental inférieure. La mise en place du massif de l'In Tounine peut être considéré comme la preuve de la remobilisation tardif au panafricain du socle éburnéen du LATEA, cette mise en place est en relation directe avec la collision du bouclier Touareg et du craton de Mourzouk</w:t>
      </w:r>
    </w:p>
    <w:sectPr w:rsidR="00FA490D" w:rsidRPr="00B30D33"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B30D33"/>
    <w:rsid w:val="006D5754"/>
    <w:rsid w:val="00B30D33"/>
    <w:rsid w:val="00FA490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490D"/>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384</Words>
  <Characters>2190</Characters>
  <Application>Microsoft Office Word</Application>
  <DocSecurity>0</DocSecurity>
  <Lines>18</Lines>
  <Paragraphs>5</Paragraphs>
  <ScaleCrop>false</ScaleCrop>
  <Company/>
  <LinksUpToDate>false</LinksUpToDate>
  <CharactersWithSpaces>2569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2015-01-14T09:40:00Z</dcterms:created>
  <dcterms:modified xsi:type="dcterms:W3CDTF">2015-01-14T09:40:00Z</dcterms:modified>
</cp:coreProperties>
</file>