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Une étude de l’effet des fluctuations du nombre de particules sur quelques observables physiques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dans le cas de l’appariement isovectoriel a été effectuée.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Dans une première partie, c’est l’énergie de séparation de deux protons qui a été considérée.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Cette dernière a été évaluée dans quatre approches différentes. Il s’agit, d’une part, des deux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approches BCS et SBCS traitant l’appariement entre particules identiques et cela avant et après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projection, et d’autre part, des approches BCS-np et SBCS-np traitant l’appariement isovectoriel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et cela avant et après projection. Nous avons considéré pour cela une forme simplifiée de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l’hamiltonien nuléaire qui a été diagonalisé approximativement par la méthode de linéarisation.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Par ailleurs, les fonctions d’onde correspondantes ne conservant pas le nombre de particules,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une projection de ces dernières dans l’espace nombre d’occupation, a été effectuée. Nous avons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ensuite évalué numériquement l’énergie de séparation de deux protons dans les quatre approches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sus-citées, pour des noyaux pair-pairs de la région des terres rares riches en protons, en utilisant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les énergies à particules indépendantes d’un champ moyen deWoods-Saxon. Il a été constaté que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parmi les quatre approches considérées, c’est la méthode SBCS-np qui donne les résultats les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plus proches des valeurs expérimentales lorsqu’elles existent. Par ailleurs, les quatre méthodes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utilisées dans le présent travail conduisent aux mêmes prédictions sur la position de la drip-line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de deux protons sauf pour le Dysprosium et le Tungstène.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La deuxième partie est consacrée à l’étude des probabilités de transition bêta plus et bêta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moins du type Fermi dans le cadre des approches sus-citées. Nous avons pour cela considéré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lastRenderedPageBreak/>
        <w:t>une forme de l’hamiltonien plus générale que celle utilisée dans la première partie. Ce dernier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a été également diagonalisé approximativement par la méthode de linéarisation. Il a été toutefois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constaté que la transformation de Bogoliubov-Valatin ainsi obtenue ne conduit pas à un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hamiltonien de quasiparticules indépendantes : une rediagonalisation a donc été effectuée. Nous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avons par la suite procédé à la projection des états intervenant dans le calcul des probabilités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de transition dans l’espace nombre d’occupation. L’approche simplifiée proposée par Raduta et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Moya de Guerra a ensuite été utilisée pour établir les expressions des différentes probabilités de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transition bêta conservant strictement le nombre de particules. Nous avons ensuite évalué ces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dernières pour des noyaux tels que N = Z. Les résultats obtenus, avant ou après rediagonalisation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de l’hamiltonien, ont été comparés, d’une part, aux valeurs obtenues avant la projection, et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d’autre part, à celles obtenues en considérant uniquement l’appariement entre particules identiques.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Il s’avère alors qu’il est non seulement nécessaire de prendre en compte l’appariement</w:t>
      </w:r>
    </w:p>
    <w:p w:rsidR="00A13CB5" w:rsidRPr="00A13CB5" w:rsidRDefault="00A13CB5" w:rsidP="00A13CB5">
      <w:pPr>
        <w:bidi w:val="0"/>
        <w:rPr>
          <w:lang w:val="fr-FR" w:bidi="ar-DZ"/>
        </w:rPr>
      </w:pPr>
      <w:r w:rsidRPr="00A13CB5">
        <w:rPr>
          <w:lang w:val="fr-FR" w:bidi="ar-DZ"/>
        </w:rPr>
        <w:t>neutron-proton en effectuant une rediagonalisation, mais également d’éliminer les fluctuations</w:t>
      </w:r>
    </w:p>
    <w:p w:rsidR="00361DC3" w:rsidRPr="00A13CB5" w:rsidRDefault="00A13CB5" w:rsidP="00A13CB5">
      <w:pPr>
        <w:bidi w:val="0"/>
        <w:rPr>
          <w:rFonts w:hint="cs"/>
          <w:lang w:val="fr-FR" w:bidi="ar-DZ"/>
        </w:rPr>
      </w:pPr>
      <w:r w:rsidRPr="00A13CB5">
        <w:rPr>
          <w:lang w:val="fr-FR" w:bidi="ar-DZ"/>
        </w:rPr>
        <w:t>du nombre de particules inhérentes à l’approche BCS.</w:t>
      </w:r>
    </w:p>
    <w:sectPr w:rsidR="00361DC3" w:rsidRPr="00A13CB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A13CB5"/>
    <w:rsid w:val="00361DC3"/>
    <w:rsid w:val="005F47AF"/>
    <w:rsid w:val="00A13C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1DC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2571</Characters>
  <Application>Microsoft Office Word</Application>
  <DocSecurity>0</DocSecurity>
  <Lines>21</Lines>
  <Paragraphs>6</Paragraphs>
  <ScaleCrop>false</ScaleCrop>
  <Company/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2016-01-21T07:52:00Z</dcterms:created>
  <dcterms:modified xsi:type="dcterms:W3CDTF">2016-01-21T07:52:00Z</dcterms:modified>
</cp:coreProperties>
</file>