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2874" w:rsidRDefault="00AD2874" w:rsidP="00AD2874">
      <w:pPr>
        <w:jc w:val="both"/>
        <w:rPr>
          <w:rFonts w:asciiTheme="majorBidi" w:hAnsiTheme="majorBidi" w:cstheme="majorBidi"/>
          <w:sz w:val="24"/>
          <w:szCs w:val="24"/>
        </w:rPr>
      </w:pPr>
    </w:p>
    <w:p w:rsidR="00AD2874" w:rsidRDefault="00AD2874" w:rsidP="00AD2874">
      <w:pPr>
        <w:jc w:val="both"/>
        <w:rPr>
          <w:rFonts w:asciiTheme="majorBidi" w:hAnsiTheme="majorBidi" w:cstheme="majorBidi"/>
          <w:sz w:val="24"/>
          <w:szCs w:val="24"/>
        </w:rPr>
      </w:pPr>
    </w:p>
    <w:p w:rsidR="00AD2874" w:rsidRDefault="00AD2874" w:rsidP="00AD2874">
      <w:pPr>
        <w:jc w:val="both"/>
        <w:rPr>
          <w:rFonts w:asciiTheme="majorBidi" w:hAnsiTheme="majorBidi" w:cstheme="majorBidi"/>
          <w:sz w:val="24"/>
          <w:szCs w:val="24"/>
        </w:rPr>
      </w:pPr>
      <w:r w:rsidRPr="00AD2874">
        <w:rPr>
          <w:rFonts w:asciiTheme="majorBidi" w:hAnsiTheme="majorBidi" w:cstheme="majorBidi"/>
          <w:b/>
          <w:bCs/>
          <w:sz w:val="32"/>
          <w:szCs w:val="32"/>
          <w:u w:val="single"/>
        </w:rPr>
        <w:t>Résumé</w:t>
      </w:r>
      <w:r>
        <w:rPr>
          <w:rFonts w:asciiTheme="majorBidi" w:hAnsiTheme="majorBidi" w:cstheme="majorBidi"/>
          <w:sz w:val="24"/>
          <w:szCs w:val="24"/>
        </w:rPr>
        <w:t> :</w:t>
      </w:r>
    </w:p>
    <w:p w:rsidR="00AD2874" w:rsidRPr="00AD2874" w:rsidRDefault="00AD2874" w:rsidP="00AD2874">
      <w:pPr>
        <w:spacing w:line="360" w:lineRule="auto"/>
        <w:jc w:val="both"/>
        <w:rPr>
          <w:rFonts w:asciiTheme="majorBidi" w:hAnsiTheme="majorBidi" w:cstheme="majorBidi"/>
          <w:sz w:val="24"/>
          <w:szCs w:val="24"/>
        </w:rPr>
      </w:pPr>
      <w:r w:rsidRPr="00AD2874">
        <w:rPr>
          <w:rFonts w:asciiTheme="majorBidi" w:hAnsiTheme="majorBidi" w:cstheme="majorBidi"/>
          <w:sz w:val="24"/>
          <w:szCs w:val="24"/>
        </w:rPr>
        <w:t xml:space="preserve">Le présent travail de recherche concerne le développement de méthodes analytiques et numériques de traitements et d’interprétations de données de champ de potentiel et leur application à l’étude de l’In </w:t>
      </w:r>
      <w:proofErr w:type="spellStart"/>
      <w:r w:rsidRPr="00AD2874">
        <w:rPr>
          <w:rFonts w:asciiTheme="majorBidi" w:hAnsiTheme="majorBidi" w:cstheme="majorBidi"/>
          <w:sz w:val="24"/>
          <w:szCs w:val="24"/>
        </w:rPr>
        <w:t>Ouzzal</w:t>
      </w:r>
      <w:proofErr w:type="spellEnd"/>
      <w:r w:rsidRPr="00AD2874">
        <w:rPr>
          <w:rFonts w:asciiTheme="majorBidi" w:hAnsiTheme="majorBidi" w:cstheme="majorBidi"/>
          <w:sz w:val="24"/>
          <w:szCs w:val="24"/>
        </w:rPr>
        <w:t xml:space="preserve"> et des zones adjacentes. Ces méthodes consistent à approcher au mieux le modèle géologique de notre zone d’étude, nous effectuons cette approche par la résolut</w:t>
      </w:r>
      <w:bookmarkStart w:id="0" w:name="_GoBack"/>
      <w:bookmarkEnd w:id="0"/>
      <w:r w:rsidRPr="00AD2874">
        <w:rPr>
          <w:rFonts w:asciiTheme="majorBidi" w:hAnsiTheme="majorBidi" w:cstheme="majorBidi"/>
          <w:sz w:val="24"/>
          <w:szCs w:val="24"/>
        </w:rPr>
        <w:t xml:space="preserve">ion des problèmes inverses. Dans cette </w:t>
      </w:r>
      <w:proofErr w:type="gramStart"/>
      <w:r w:rsidRPr="00AD2874">
        <w:rPr>
          <w:rFonts w:asciiTheme="majorBidi" w:hAnsiTheme="majorBidi" w:cstheme="majorBidi"/>
          <w:sz w:val="24"/>
          <w:szCs w:val="24"/>
        </w:rPr>
        <w:t>étude;</w:t>
      </w:r>
      <w:proofErr w:type="gramEnd"/>
      <w:r w:rsidRPr="00AD2874">
        <w:rPr>
          <w:rFonts w:asciiTheme="majorBidi" w:hAnsiTheme="majorBidi" w:cstheme="majorBidi"/>
          <w:sz w:val="24"/>
          <w:szCs w:val="24"/>
        </w:rPr>
        <w:t xml:space="preserve"> nous avons développé une nouvelle méthode analytique de la Transformation de </w:t>
      </w:r>
      <w:proofErr w:type="spellStart"/>
      <w:r w:rsidRPr="00AD2874">
        <w:rPr>
          <w:rFonts w:asciiTheme="majorBidi" w:hAnsiTheme="majorBidi" w:cstheme="majorBidi"/>
          <w:sz w:val="24"/>
          <w:szCs w:val="24"/>
        </w:rPr>
        <w:t>Riesz</w:t>
      </w:r>
      <w:proofErr w:type="spellEnd"/>
      <w:r w:rsidRPr="00AD2874">
        <w:rPr>
          <w:rFonts w:asciiTheme="majorBidi" w:hAnsiTheme="majorBidi" w:cstheme="majorBidi"/>
          <w:sz w:val="24"/>
          <w:szCs w:val="24"/>
        </w:rPr>
        <w:t xml:space="preserve"> (TR), en utilisant les notions de fonctions </w:t>
      </w:r>
      <w:proofErr w:type="spellStart"/>
      <w:r w:rsidRPr="00AD2874">
        <w:rPr>
          <w:rFonts w:asciiTheme="majorBidi" w:hAnsiTheme="majorBidi" w:cstheme="majorBidi"/>
          <w:sz w:val="24"/>
          <w:szCs w:val="24"/>
        </w:rPr>
        <w:t>monogènes</w:t>
      </w:r>
      <w:proofErr w:type="spellEnd"/>
      <w:r w:rsidRPr="00AD2874">
        <w:rPr>
          <w:rFonts w:asciiTheme="majorBidi" w:hAnsiTheme="majorBidi" w:cstheme="majorBidi"/>
          <w:sz w:val="24"/>
          <w:szCs w:val="24"/>
        </w:rPr>
        <w:t xml:space="preserve"> avec les conditions des Cauchy Riemann. Les résultats de calculs, nous conduisent à la formulation mathématique générale du signal analytique </w:t>
      </w:r>
      <w:proofErr w:type="spellStart"/>
      <w:r w:rsidRPr="00AD2874">
        <w:rPr>
          <w:rFonts w:asciiTheme="majorBidi" w:hAnsiTheme="majorBidi" w:cstheme="majorBidi"/>
          <w:sz w:val="24"/>
          <w:szCs w:val="24"/>
        </w:rPr>
        <w:t>nD</w:t>
      </w:r>
      <w:proofErr w:type="spellEnd"/>
      <w:r w:rsidRPr="00AD2874">
        <w:rPr>
          <w:rFonts w:asciiTheme="majorBidi" w:hAnsiTheme="majorBidi" w:cstheme="majorBidi"/>
          <w:sz w:val="24"/>
          <w:szCs w:val="24"/>
        </w:rPr>
        <w:t xml:space="preserve">. Les autres méthodes inverses utilisées sont la </w:t>
      </w:r>
      <w:proofErr w:type="spellStart"/>
      <w:r w:rsidRPr="00AD2874">
        <w:rPr>
          <w:rFonts w:asciiTheme="majorBidi" w:hAnsiTheme="majorBidi" w:cstheme="majorBidi"/>
          <w:sz w:val="24"/>
          <w:szCs w:val="24"/>
        </w:rPr>
        <w:t>deconvolution</w:t>
      </w:r>
      <w:proofErr w:type="spellEnd"/>
      <w:r w:rsidRPr="00AD2874">
        <w:rPr>
          <w:rFonts w:asciiTheme="majorBidi" w:hAnsiTheme="majorBidi" w:cstheme="majorBidi"/>
          <w:sz w:val="24"/>
          <w:szCs w:val="24"/>
        </w:rPr>
        <w:t xml:space="preserve"> d’Euler (ED), le Tilt angle amélioré (TAA) et la Transformation de Hilbert (TH). Nous avons appliqué les méthodes précédentes aux modèles synthétiques exactes et bruités dans le but d’avoir le bon choix des paramètres qui offrent une meilleure interprétation, avant leur application à un cas réel. Les solutions de TR, ED et TAA projetées sur la carte géologique de la zone d’étude, indiquent que les bordures du </w:t>
      </w:r>
      <w:proofErr w:type="spellStart"/>
      <w:r w:rsidRPr="00AD2874">
        <w:rPr>
          <w:rFonts w:asciiTheme="majorBidi" w:hAnsiTheme="majorBidi" w:cstheme="majorBidi"/>
          <w:sz w:val="24"/>
          <w:szCs w:val="24"/>
        </w:rPr>
        <w:t>terrane</w:t>
      </w:r>
      <w:proofErr w:type="spellEnd"/>
      <w:r w:rsidRPr="00AD2874">
        <w:rPr>
          <w:rFonts w:asciiTheme="majorBidi" w:hAnsiTheme="majorBidi" w:cstheme="majorBidi"/>
          <w:sz w:val="24"/>
          <w:szCs w:val="24"/>
        </w:rPr>
        <w:t xml:space="preserve"> de l’In </w:t>
      </w:r>
      <w:proofErr w:type="spellStart"/>
      <w:r w:rsidRPr="00AD2874">
        <w:rPr>
          <w:rFonts w:asciiTheme="majorBidi" w:hAnsiTheme="majorBidi" w:cstheme="majorBidi"/>
          <w:sz w:val="24"/>
          <w:szCs w:val="24"/>
        </w:rPr>
        <w:t>Ouzzal</w:t>
      </w:r>
      <w:proofErr w:type="spellEnd"/>
      <w:r w:rsidRPr="00AD2874">
        <w:rPr>
          <w:rFonts w:asciiTheme="majorBidi" w:hAnsiTheme="majorBidi" w:cstheme="majorBidi"/>
          <w:sz w:val="24"/>
          <w:szCs w:val="24"/>
        </w:rPr>
        <w:t xml:space="preserve"> avec les branches des structures Panafricaines qui l’entourent, sont délimitées par deux accidents </w:t>
      </w:r>
      <w:proofErr w:type="spellStart"/>
      <w:r w:rsidRPr="00AD2874">
        <w:rPr>
          <w:rFonts w:asciiTheme="majorBidi" w:hAnsiTheme="majorBidi" w:cstheme="majorBidi"/>
          <w:sz w:val="24"/>
          <w:szCs w:val="24"/>
        </w:rPr>
        <w:t>subverticaux</w:t>
      </w:r>
      <w:proofErr w:type="spellEnd"/>
      <w:r w:rsidRPr="00AD2874">
        <w:rPr>
          <w:rFonts w:asciiTheme="majorBidi" w:hAnsiTheme="majorBidi" w:cstheme="majorBidi"/>
          <w:sz w:val="24"/>
          <w:szCs w:val="24"/>
        </w:rPr>
        <w:t xml:space="preserve">, probablement lithosphériques, ainsi qu’il existe un système de failles localisé au centre de notre zone d’étude (le long du parallèle 22°), ce système est orienté dans la direction NE-SW, avec une profondeur assez plus profonde. Ce système sépare le </w:t>
      </w:r>
      <w:proofErr w:type="spellStart"/>
      <w:r w:rsidRPr="00AD2874">
        <w:rPr>
          <w:rFonts w:asciiTheme="majorBidi" w:hAnsiTheme="majorBidi" w:cstheme="majorBidi"/>
          <w:sz w:val="24"/>
          <w:szCs w:val="24"/>
        </w:rPr>
        <w:t>terrane</w:t>
      </w:r>
      <w:proofErr w:type="spellEnd"/>
      <w:r w:rsidRPr="00AD2874">
        <w:rPr>
          <w:rFonts w:asciiTheme="majorBidi" w:hAnsiTheme="majorBidi" w:cstheme="majorBidi"/>
          <w:sz w:val="24"/>
          <w:szCs w:val="24"/>
        </w:rPr>
        <w:t xml:space="preserve"> d’In </w:t>
      </w:r>
      <w:proofErr w:type="spellStart"/>
      <w:r w:rsidRPr="00AD2874">
        <w:rPr>
          <w:rFonts w:asciiTheme="majorBidi" w:hAnsiTheme="majorBidi" w:cstheme="majorBidi"/>
          <w:sz w:val="24"/>
          <w:szCs w:val="24"/>
        </w:rPr>
        <w:t>Ouzzal</w:t>
      </w:r>
      <w:proofErr w:type="spellEnd"/>
      <w:r w:rsidRPr="00AD2874">
        <w:rPr>
          <w:rFonts w:asciiTheme="majorBidi" w:hAnsiTheme="majorBidi" w:cstheme="majorBidi"/>
          <w:sz w:val="24"/>
          <w:szCs w:val="24"/>
        </w:rPr>
        <w:t xml:space="preserve"> en deux </w:t>
      </w:r>
      <w:proofErr w:type="gramStart"/>
      <w:r w:rsidRPr="00AD2874">
        <w:rPr>
          <w:rFonts w:asciiTheme="majorBidi" w:hAnsiTheme="majorBidi" w:cstheme="majorBidi"/>
          <w:sz w:val="24"/>
          <w:szCs w:val="24"/>
        </w:rPr>
        <w:t>parties:</w:t>
      </w:r>
      <w:proofErr w:type="gramEnd"/>
      <w:r w:rsidRPr="00AD2874">
        <w:rPr>
          <w:rFonts w:asciiTheme="majorBidi" w:hAnsiTheme="majorBidi" w:cstheme="majorBidi"/>
          <w:sz w:val="24"/>
          <w:szCs w:val="24"/>
        </w:rPr>
        <w:t xml:space="preserve"> la partie nord et sud. Cette dernière interprétation confirme qu’</w:t>
      </w:r>
      <w:proofErr w:type="spellStart"/>
      <w:r w:rsidRPr="00AD2874">
        <w:rPr>
          <w:rFonts w:asciiTheme="majorBidi" w:hAnsiTheme="majorBidi" w:cstheme="majorBidi"/>
          <w:sz w:val="24"/>
          <w:szCs w:val="24"/>
        </w:rPr>
        <w:t>a</w:t>
      </w:r>
      <w:proofErr w:type="spellEnd"/>
      <w:r w:rsidRPr="00AD2874">
        <w:rPr>
          <w:rFonts w:asciiTheme="majorBidi" w:hAnsiTheme="majorBidi" w:cstheme="majorBidi"/>
          <w:sz w:val="24"/>
          <w:szCs w:val="24"/>
        </w:rPr>
        <w:t xml:space="preserve"> l’est du </w:t>
      </w:r>
      <w:proofErr w:type="spellStart"/>
      <w:r w:rsidRPr="00AD2874">
        <w:rPr>
          <w:rFonts w:asciiTheme="majorBidi" w:hAnsiTheme="majorBidi" w:cstheme="majorBidi"/>
          <w:sz w:val="24"/>
          <w:szCs w:val="24"/>
        </w:rPr>
        <w:t>terrane</w:t>
      </w:r>
      <w:proofErr w:type="spellEnd"/>
      <w:r w:rsidRPr="00AD2874">
        <w:rPr>
          <w:rFonts w:asciiTheme="majorBidi" w:hAnsiTheme="majorBidi" w:cstheme="majorBidi"/>
          <w:sz w:val="24"/>
          <w:szCs w:val="24"/>
        </w:rPr>
        <w:t xml:space="preserve"> d’In </w:t>
      </w:r>
      <w:proofErr w:type="spellStart"/>
      <w:r w:rsidRPr="00AD2874">
        <w:rPr>
          <w:rFonts w:asciiTheme="majorBidi" w:hAnsiTheme="majorBidi" w:cstheme="majorBidi"/>
          <w:sz w:val="24"/>
          <w:szCs w:val="24"/>
        </w:rPr>
        <w:t>Ouzzal</w:t>
      </w:r>
      <w:proofErr w:type="spellEnd"/>
      <w:r w:rsidRPr="00AD2874">
        <w:rPr>
          <w:rFonts w:asciiTheme="majorBidi" w:hAnsiTheme="majorBidi" w:cstheme="majorBidi"/>
          <w:sz w:val="24"/>
          <w:szCs w:val="24"/>
        </w:rPr>
        <w:t>, le décrochement est dextre, tandis qu’à l’ouest, il s’agit plutôt d’un décrochement senestre</w:t>
      </w:r>
    </w:p>
    <w:p w:rsidR="005000BB" w:rsidRPr="00AD2874" w:rsidRDefault="00AD2874" w:rsidP="00AD2874">
      <w:pPr>
        <w:jc w:val="both"/>
        <w:rPr>
          <w:rFonts w:asciiTheme="majorBidi" w:hAnsiTheme="majorBidi" w:cstheme="majorBidi"/>
          <w:sz w:val="24"/>
          <w:szCs w:val="24"/>
        </w:rPr>
      </w:pPr>
      <w:r w:rsidRPr="00AD2874">
        <w:rPr>
          <w:rFonts w:asciiTheme="majorBidi" w:hAnsiTheme="majorBidi" w:cstheme="majorBidi"/>
          <w:sz w:val="24"/>
          <w:szCs w:val="24"/>
        </w:rPr>
        <w:tab/>
      </w:r>
    </w:p>
    <w:sectPr w:rsidR="005000BB" w:rsidRPr="00AD287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2874"/>
    <w:rsid w:val="005000BB"/>
    <w:rsid w:val="00AD287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20BDB3-B0B1-4BFD-AD65-09FFC9232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276</Words>
  <Characters>1522</Characters>
  <Application>Microsoft Office Word</Application>
  <DocSecurity>0</DocSecurity>
  <Lines>12</Lines>
  <Paragraphs>3</Paragraphs>
  <ScaleCrop>false</ScaleCrop>
  <Company/>
  <LinksUpToDate>false</LinksUpToDate>
  <CharactersWithSpaces>1795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naima</dc:creator>
  <cp:keywords/>
  <dc:description/>
  <cp:lastModifiedBy>naima</cp:lastModifiedBy>
  <cp:revision>2</cp:revision>
  <dcterms:created xsi:type="dcterms:W3CDTF">2018-10-31T11:37:00Z</dcterms:created>
  <dcterms:modified xsi:type="dcterms:W3CDTF">2018-10-31T11:41:00Z</dcterms:modified>
</cp:coreProperties>
</file>