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22DA" w:rsidRDefault="00847423" w:rsidP="00916A32">
      <w:pPr>
        <w:autoSpaceDE w:val="0"/>
        <w:autoSpaceDN w:val="0"/>
        <w:adjustRightInd w:val="0"/>
        <w:spacing w:after="0" w:line="600" w:lineRule="auto"/>
        <w:rPr>
          <w:rFonts w:ascii="Times New Roman" w:hAnsi="Times New Roman" w:cs="Times New Roman"/>
          <w:b/>
          <w:bCs/>
          <w:sz w:val="24"/>
          <w:szCs w:val="24"/>
        </w:rPr>
      </w:pPr>
      <w:r>
        <w:rPr>
          <w:rFonts w:ascii="Times New Roman" w:hAnsi="Times New Roman" w:cs="Times New Roman"/>
          <w:b/>
          <w:bCs/>
          <w:sz w:val="24"/>
          <w:szCs w:val="24"/>
        </w:rPr>
        <w:t xml:space="preserve">RESUME </w:t>
      </w:r>
    </w:p>
    <w:p w:rsidR="0003699A" w:rsidRPr="00B76821" w:rsidRDefault="000122DA" w:rsidP="00B76821">
      <w:pPr>
        <w:autoSpaceDE w:val="0"/>
        <w:autoSpaceDN w:val="0"/>
        <w:adjustRightInd w:val="0"/>
        <w:spacing w:after="0" w:line="360" w:lineRule="auto"/>
        <w:jc w:val="both"/>
        <w:rPr>
          <w:rFonts w:asciiTheme="majorBidi" w:hAnsiTheme="majorBidi" w:cstheme="majorBidi"/>
          <w:sz w:val="24"/>
          <w:szCs w:val="24"/>
        </w:rPr>
      </w:pPr>
      <w:r w:rsidRPr="00B76821">
        <w:rPr>
          <w:rFonts w:asciiTheme="majorBidi" w:hAnsiTheme="majorBidi" w:cstheme="majorBidi"/>
          <w:sz w:val="24"/>
          <w:szCs w:val="24"/>
        </w:rPr>
        <w:t xml:space="preserve">L’objectif </w:t>
      </w:r>
      <w:r w:rsidR="0003699A" w:rsidRPr="00B76821">
        <w:rPr>
          <w:rFonts w:asciiTheme="majorBidi" w:hAnsiTheme="majorBidi" w:cstheme="majorBidi"/>
          <w:sz w:val="24"/>
          <w:szCs w:val="24"/>
        </w:rPr>
        <w:t>de ce doctorat consiste en l'élaboration</w:t>
      </w:r>
      <w:r w:rsidR="004A42CA" w:rsidRPr="00B76821">
        <w:rPr>
          <w:rFonts w:asciiTheme="majorBidi" w:hAnsiTheme="majorBidi" w:cstheme="majorBidi"/>
          <w:sz w:val="24"/>
          <w:szCs w:val="24"/>
        </w:rPr>
        <w:t>,</w:t>
      </w:r>
      <w:r w:rsidR="0003699A" w:rsidRPr="00B76821">
        <w:rPr>
          <w:rFonts w:asciiTheme="majorBidi" w:hAnsiTheme="majorBidi" w:cstheme="majorBidi"/>
          <w:sz w:val="24"/>
          <w:szCs w:val="24"/>
        </w:rPr>
        <w:t xml:space="preserve"> à base de la diatomite algérienne, </w:t>
      </w:r>
      <w:r w:rsidR="004A42CA" w:rsidRPr="00B76821">
        <w:rPr>
          <w:rFonts w:asciiTheme="majorBidi" w:hAnsiTheme="majorBidi" w:cstheme="majorBidi"/>
          <w:sz w:val="24"/>
          <w:szCs w:val="24"/>
        </w:rPr>
        <w:t xml:space="preserve">de </w:t>
      </w:r>
      <w:r w:rsidR="0003699A" w:rsidRPr="00B76821">
        <w:rPr>
          <w:rFonts w:asciiTheme="majorBidi" w:hAnsiTheme="majorBidi" w:cstheme="majorBidi"/>
          <w:sz w:val="24"/>
          <w:szCs w:val="24"/>
        </w:rPr>
        <w:t>quatre matéri</w:t>
      </w:r>
      <w:r w:rsidR="004A42CA" w:rsidRPr="00B76821">
        <w:rPr>
          <w:rFonts w:asciiTheme="majorBidi" w:hAnsiTheme="majorBidi" w:cstheme="majorBidi"/>
          <w:sz w:val="24"/>
          <w:szCs w:val="24"/>
        </w:rPr>
        <w:t>aux hybrides (diatomite/charbon</w:t>
      </w:r>
      <w:r w:rsidR="0003699A" w:rsidRPr="00B76821">
        <w:rPr>
          <w:rFonts w:asciiTheme="majorBidi" w:hAnsiTheme="majorBidi" w:cstheme="majorBidi"/>
          <w:sz w:val="24"/>
          <w:szCs w:val="24"/>
        </w:rPr>
        <w:t>) a</w:t>
      </w:r>
      <w:r w:rsidR="004A42CA" w:rsidRPr="00B76821">
        <w:rPr>
          <w:rFonts w:asciiTheme="majorBidi" w:hAnsiTheme="majorBidi" w:cstheme="majorBidi"/>
          <w:sz w:val="24"/>
          <w:szCs w:val="24"/>
        </w:rPr>
        <w:t>u moyen d’un précurseur carboné,</w:t>
      </w:r>
      <w:r w:rsidR="0003699A" w:rsidRPr="00B76821">
        <w:rPr>
          <w:rFonts w:asciiTheme="majorBidi" w:hAnsiTheme="majorBidi" w:cstheme="majorBidi"/>
          <w:sz w:val="24"/>
          <w:szCs w:val="24"/>
        </w:rPr>
        <w:t xml:space="preserve"> sous certaines conditions optimales de préparation liées aux traitements  chimique et thermique. Toutes les matrices sont caractérisées par plusieurs méthodes telles que la : MEB, DRX, BET, spectroscopie IRTF et zétamètrie. Il en ressort des surfaces mésoporeuses et  hydrophobes, avec  une nette augmentation de la surface spécifique qui passe de ((20.120 (DN)  à 21.732, 173.435, 148.839 ou 110.469 m2 g−1).   Les cinétiques et isothermes d’adsorption de trois composés organiques (paranitrophénol (PNP), composé apolaire, et deux colorants (Bleu de Méthylène (BM), colorants cationique, et l’orange II (O II, colorant  anionique))  sur les hybrides ont montré de grandes affinités adsorbants-adsorbats, particulièrement en milieu acide pour le PNP et l’O II et en milieu basique pour le BM. L’étude de l’adsorption de ces trois polluants sur la matrice de base (Diatomite Naturelle) a montré que l’adsorption du PNP et de l’O II est très faible, compte tenu de l’hydrophilie élevée et des charges de surface négatives qu’elle présente. Les résultats d’adsorption des polluants  montrent que la capacité d'adsorption croit avec la  température, décroit avec la dose d’adsorbant et qu’elle est maximale à pH très acide pour (l’O II et le PNP) et à pH= 5,5 pour le BM.</w:t>
      </w:r>
    </w:p>
    <w:p w:rsidR="0003699A" w:rsidRPr="00B76821" w:rsidRDefault="0003699A" w:rsidP="00B76821">
      <w:pPr>
        <w:autoSpaceDE w:val="0"/>
        <w:autoSpaceDN w:val="0"/>
        <w:adjustRightInd w:val="0"/>
        <w:spacing w:after="0" w:line="360" w:lineRule="auto"/>
        <w:jc w:val="both"/>
        <w:rPr>
          <w:rFonts w:asciiTheme="majorBidi" w:hAnsiTheme="majorBidi" w:cstheme="majorBidi"/>
          <w:sz w:val="24"/>
          <w:szCs w:val="24"/>
        </w:rPr>
      </w:pPr>
      <w:r w:rsidRPr="00B76821">
        <w:rPr>
          <w:rFonts w:asciiTheme="majorBidi" w:hAnsiTheme="majorBidi" w:cstheme="majorBidi"/>
          <w:sz w:val="24"/>
          <w:szCs w:val="24"/>
        </w:rPr>
        <w:t>La modélisation des cinétiques d’adsorption des polluants a montré  qu’il n’est pas facile de préciser  a priori si la diffusion intra-particulaire n’est pas cinétiquement déterminante. En revanche</w:t>
      </w:r>
      <w:r w:rsidR="004A42CA" w:rsidRPr="00B76821">
        <w:rPr>
          <w:rFonts w:asciiTheme="majorBidi" w:hAnsiTheme="majorBidi" w:cstheme="majorBidi"/>
          <w:sz w:val="24"/>
          <w:szCs w:val="24"/>
        </w:rPr>
        <w:t>, l</w:t>
      </w:r>
      <w:r w:rsidRPr="00B76821">
        <w:rPr>
          <w:rFonts w:asciiTheme="majorBidi" w:hAnsiTheme="majorBidi" w:cstheme="majorBidi"/>
          <w:sz w:val="24"/>
          <w:szCs w:val="24"/>
        </w:rPr>
        <w:t>e modèle de réaction</w:t>
      </w:r>
      <w:r w:rsidR="004A42CA" w:rsidRPr="00B76821">
        <w:rPr>
          <w:rFonts w:asciiTheme="majorBidi" w:hAnsiTheme="majorBidi" w:cstheme="majorBidi"/>
          <w:sz w:val="24"/>
          <w:szCs w:val="24"/>
        </w:rPr>
        <w:t xml:space="preserve"> de surface du pseudo-second or</w:t>
      </w:r>
      <w:r w:rsidRPr="00B76821">
        <w:rPr>
          <w:rFonts w:asciiTheme="majorBidi" w:hAnsiTheme="majorBidi" w:cstheme="majorBidi"/>
          <w:sz w:val="24"/>
          <w:szCs w:val="24"/>
        </w:rPr>
        <w:t>dre (type I) décrit mieux les résultats expérimentaux et conduit à des valeurs de coefficient R</w:t>
      </w:r>
      <w:r w:rsidRPr="00B76821">
        <w:rPr>
          <w:rFonts w:asciiTheme="majorBidi" w:hAnsiTheme="majorBidi" w:cstheme="majorBidi"/>
          <w:sz w:val="24"/>
          <w:szCs w:val="24"/>
          <w:vertAlign w:val="superscript"/>
        </w:rPr>
        <w:t>2</w:t>
      </w:r>
      <w:r w:rsidRPr="00B76821">
        <w:rPr>
          <w:rFonts w:asciiTheme="majorBidi" w:hAnsiTheme="majorBidi" w:cstheme="majorBidi"/>
          <w:sz w:val="24"/>
          <w:szCs w:val="24"/>
        </w:rPr>
        <w:t xml:space="preserve"> et des calculs d’erreurs très appréciables. Les isothermes d’adsorption sont mieux représentées par le modèle de Langmuir comparativement aux autres modèles étudiés (Freundlich Temkin et Dubinin-Radushkevich). L’étude th</w:t>
      </w:r>
      <w:r w:rsidR="004A42CA" w:rsidRPr="00B76821">
        <w:rPr>
          <w:rFonts w:asciiTheme="majorBidi" w:hAnsiTheme="majorBidi" w:cstheme="majorBidi"/>
          <w:sz w:val="24"/>
          <w:szCs w:val="24"/>
        </w:rPr>
        <w:t>ermodynamique révèle une chimi</w:t>
      </w:r>
      <w:r w:rsidRPr="00B76821">
        <w:rPr>
          <w:rFonts w:asciiTheme="majorBidi" w:hAnsiTheme="majorBidi" w:cstheme="majorBidi"/>
          <w:sz w:val="24"/>
          <w:szCs w:val="24"/>
        </w:rPr>
        <w:t xml:space="preserve">sorption, un accroissement du désordre à l’interface solide-liquide durant l’adsorption, un processus endothermique et une réaction spontanée. </w:t>
      </w:r>
    </w:p>
    <w:p w:rsidR="00B76821" w:rsidRDefault="00B76821" w:rsidP="00B76821">
      <w:pPr>
        <w:autoSpaceDE w:val="0"/>
        <w:autoSpaceDN w:val="0"/>
        <w:adjustRightInd w:val="0"/>
        <w:spacing w:after="0" w:line="360" w:lineRule="auto"/>
        <w:jc w:val="both"/>
        <w:rPr>
          <w:rFonts w:ascii="Times New Roman" w:hAnsi="Times New Roman" w:cs="Times New Roman"/>
          <w:b/>
          <w:bCs/>
          <w:sz w:val="24"/>
          <w:szCs w:val="24"/>
        </w:rPr>
      </w:pPr>
    </w:p>
    <w:p w:rsidR="00957B37" w:rsidRDefault="00957B37" w:rsidP="00E3229E">
      <w:pPr>
        <w:autoSpaceDE w:val="0"/>
        <w:autoSpaceDN w:val="0"/>
        <w:adjustRightInd w:val="0"/>
        <w:spacing w:after="0" w:line="240" w:lineRule="auto"/>
        <w:jc w:val="both"/>
        <w:rPr>
          <w:rFonts w:ascii="Times New Roman" w:hAnsi="Times New Roman" w:cs="Times New Roman"/>
          <w:b/>
          <w:bCs/>
          <w:sz w:val="28"/>
          <w:szCs w:val="28"/>
        </w:rPr>
      </w:pPr>
      <w:bookmarkStart w:id="0" w:name="_GoBack"/>
      <w:bookmarkEnd w:id="0"/>
    </w:p>
    <w:p w:rsidR="00957B37" w:rsidRDefault="00957B37" w:rsidP="00AF0A81">
      <w:pPr>
        <w:autoSpaceDE w:val="0"/>
        <w:autoSpaceDN w:val="0"/>
        <w:adjustRightInd w:val="0"/>
        <w:spacing w:after="0"/>
        <w:rPr>
          <w:rFonts w:ascii="Times New Roman" w:hAnsi="Times New Roman" w:cs="Times New Roman"/>
          <w:b/>
          <w:bCs/>
          <w:sz w:val="28"/>
          <w:szCs w:val="28"/>
        </w:rPr>
      </w:pPr>
    </w:p>
    <w:p w:rsidR="006C16AB" w:rsidRPr="006C16AB" w:rsidRDefault="006C16AB" w:rsidP="006C16AB">
      <w:pPr>
        <w:rPr>
          <w:rFonts w:ascii="Times New Roman" w:hAnsi="Times New Roman" w:cs="Times New Roman"/>
          <w:sz w:val="28"/>
          <w:szCs w:val="28"/>
        </w:rPr>
      </w:pPr>
    </w:p>
    <w:p w:rsidR="00FF30C9" w:rsidRPr="006C16AB" w:rsidRDefault="00FF30C9" w:rsidP="006C16AB">
      <w:pPr>
        <w:rPr>
          <w:rFonts w:ascii="Times New Roman" w:hAnsi="Times New Roman" w:cs="Times New Roman"/>
          <w:sz w:val="28"/>
          <w:szCs w:val="28"/>
        </w:rPr>
      </w:pPr>
    </w:p>
    <w:sectPr w:rsidR="00FF30C9" w:rsidRPr="006C16AB" w:rsidSect="006E2DBB">
      <w:headerReference w:type="default" r:id="rId6"/>
      <w:pgSz w:w="11906" w:h="16838" w:code="9"/>
      <w:pgMar w:top="543" w:right="849" w:bottom="284"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793D" w:rsidRDefault="003A793D" w:rsidP="00B61337">
      <w:pPr>
        <w:spacing w:after="0" w:line="240" w:lineRule="auto"/>
      </w:pPr>
      <w:r>
        <w:separator/>
      </w:r>
    </w:p>
  </w:endnote>
  <w:endnote w:type="continuationSeparator" w:id="0">
    <w:p w:rsidR="003A793D" w:rsidRDefault="003A793D" w:rsidP="00B613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793D" w:rsidRDefault="003A793D" w:rsidP="00B61337">
      <w:pPr>
        <w:spacing w:after="0" w:line="240" w:lineRule="auto"/>
      </w:pPr>
      <w:r>
        <w:separator/>
      </w:r>
    </w:p>
  </w:footnote>
  <w:footnote w:type="continuationSeparator" w:id="0">
    <w:p w:rsidR="003A793D" w:rsidRDefault="003A793D" w:rsidP="00B613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337" w:rsidRDefault="00B61337" w:rsidP="00B61337">
    <w:pPr>
      <w:pStyle w:val="En-tte"/>
    </w:pPr>
  </w:p>
  <w:p w:rsidR="00B61337" w:rsidRDefault="00B61337">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2DA"/>
    <w:rsid w:val="0000605B"/>
    <w:rsid w:val="00011A7F"/>
    <w:rsid w:val="000122DA"/>
    <w:rsid w:val="00030093"/>
    <w:rsid w:val="0003437E"/>
    <w:rsid w:val="0003699A"/>
    <w:rsid w:val="000451C6"/>
    <w:rsid w:val="00076216"/>
    <w:rsid w:val="00081A1D"/>
    <w:rsid w:val="0008278E"/>
    <w:rsid w:val="0009299B"/>
    <w:rsid w:val="000C2177"/>
    <w:rsid w:val="000D0B9B"/>
    <w:rsid w:val="000E1043"/>
    <w:rsid w:val="000E6E0D"/>
    <w:rsid w:val="000F393B"/>
    <w:rsid w:val="001029A9"/>
    <w:rsid w:val="001041AE"/>
    <w:rsid w:val="00107A00"/>
    <w:rsid w:val="00107C71"/>
    <w:rsid w:val="00124520"/>
    <w:rsid w:val="00146192"/>
    <w:rsid w:val="00150CBE"/>
    <w:rsid w:val="001526A5"/>
    <w:rsid w:val="0015298B"/>
    <w:rsid w:val="00164437"/>
    <w:rsid w:val="00167CFC"/>
    <w:rsid w:val="00180AF5"/>
    <w:rsid w:val="00184FA7"/>
    <w:rsid w:val="0019339A"/>
    <w:rsid w:val="001A529A"/>
    <w:rsid w:val="001D4832"/>
    <w:rsid w:val="001D7D6B"/>
    <w:rsid w:val="001D7E48"/>
    <w:rsid w:val="001F42F0"/>
    <w:rsid w:val="002416F2"/>
    <w:rsid w:val="00257714"/>
    <w:rsid w:val="0028441E"/>
    <w:rsid w:val="002871A2"/>
    <w:rsid w:val="002B232A"/>
    <w:rsid w:val="002B649C"/>
    <w:rsid w:val="002C0722"/>
    <w:rsid w:val="002F18EF"/>
    <w:rsid w:val="0030105A"/>
    <w:rsid w:val="003307F6"/>
    <w:rsid w:val="00337662"/>
    <w:rsid w:val="0035090F"/>
    <w:rsid w:val="00357E4A"/>
    <w:rsid w:val="003615E7"/>
    <w:rsid w:val="00381064"/>
    <w:rsid w:val="003A793D"/>
    <w:rsid w:val="003C7CC0"/>
    <w:rsid w:val="003D09B0"/>
    <w:rsid w:val="0040542B"/>
    <w:rsid w:val="0044090B"/>
    <w:rsid w:val="00470E13"/>
    <w:rsid w:val="00483544"/>
    <w:rsid w:val="004849AC"/>
    <w:rsid w:val="004906FA"/>
    <w:rsid w:val="0049692A"/>
    <w:rsid w:val="004A42CA"/>
    <w:rsid w:val="004C1A1C"/>
    <w:rsid w:val="004E065B"/>
    <w:rsid w:val="004E2231"/>
    <w:rsid w:val="004E6DA5"/>
    <w:rsid w:val="00522E27"/>
    <w:rsid w:val="00532808"/>
    <w:rsid w:val="00533445"/>
    <w:rsid w:val="00562952"/>
    <w:rsid w:val="00582313"/>
    <w:rsid w:val="00590A0C"/>
    <w:rsid w:val="00597EC4"/>
    <w:rsid w:val="005E0A8C"/>
    <w:rsid w:val="005F0E81"/>
    <w:rsid w:val="005F7695"/>
    <w:rsid w:val="0060628D"/>
    <w:rsid w:val="00625D2A"/>
    <w:rsid w:val="00636B43"/>
    <w:rsid w:val="00644977"/>
    <w:rsid w:val="0064662A"/>
    <w:rsid w:val="00661F11"/>
    <w:rsid w:val="00672673"/>
    <w:rsid w:val="00673C74"/>
    <w:rsid w:val="00693F80"/>
    <w:rsid w:val="00695FBF"/>
    <w:rsid w:val="006A1A9D"/>
    <w:rsid w:val="006A4FF9"/>
    <w:rsid w:val="006C16AB"/>
    <w:rsid w:val="006E0F2F"/>
    <w:rsid w:val="006E2DBB"/>
    <w:rsid w:val="00701DEB"/>
    <w:rsid w:val="00707F3A"/>
    <w:rsid w:val="007161C3"/>
    <w:rsid w:val="00720892"/>
    <w:rsid w:val="00735881"/>
    <w:rsid w:val="00753730"/>
    <w:rsid w:val="00754E59"/>
    <w:rsid w:val="00794C69"/>
    <w:rsid w:val="00795735"/>
    <w:rsid w:val="007D6B3D"/>
    <w:rsid w:val="007E5C16"/>
    <w:rsid w:val="008005C5"/>
    <w:rsid w:val="00826A06"/>
    <w:rsid w:val="0083032C"/>
    <w:rsid w:val="00833604"/>
    <w:rsid w:val="0084537F"/>
    <w:rsid w:val="00846831"/>
    <w:rsid w:val="00847423"/>
    <w:rsid w:val="00854AD0"/>
    <w:rsid w:val="008615C4"/>
    <w:rsid w:val="00875AD5"/>
    <w:rsid w:val="00883DA7"/>
    <w:rsid w:val="008A15E6"/>
    <w:rsid w:val="008A6F8B"/>
    <w:rsid w:val="008D1647"/>
    <w:rsid w:val="008E4E7C"/>
    <w:rsid w:val="008F49A4"/>
    <w:rsid w:val="009009FA"/>
    <w:rsid w:val="009126BF"/>
    <w:rsid w:val="00916A32"/>
    <w:rsid w:val="00926CE9"/>
    <w:rsid w:val="0093435E"/>
    <w:rsid w:val="009376C3"/>
    <w:rsid w:val="00940E60"/>
    <w:rsid w:val="00957B37"/>
    <w:rsid w:val="0097272C"/>
    <w:rsid w:val="009750F8"/>
    <w:rsid w:val="009811E3"/>
    <w:rsid w:val="009C425E"/>
    <w:rsid w:val="009D609A"/>
    <w:rsid w:val="009E3214"/>
    <w:rsid w:val="009F0640"/>
    <w:rsid w:val="00A02843"/>
    <w:rsid w:val="00A5343E"/>
    <w:rsid w:val="00A62D53"/>
    <w:rsid w:val="00A92AF2"/>
    <w:rsid w:val="00A92E08"/>
    <w:rsid w:val="00AA05E5"/>
    <w:rsid w:val="00AB22FC"/>
    <w:rsid w:val="00AC27C6"/>
    <w:rsid w:val="00AE426E"/>
    <w:rsid w:val="00AF0A81"/>
    <w:rsid w:val="00AF1A89"/>
    <w:rsid w:val="00AF50D4"/>
    <w:rsid w:val="00B175E0"/>
    <w:rsid w:val="00B61337"/>
    <w:rsid w:val="00B67D93"/>
    <w:rsid w:val="00B76821"/>
    <w:rsid w:val="00B91E6A"/>
    <w:rsid w:val="00B95A64"/>
    <w:rsid w:val="00BB166F"/>
    <w:rsid w:val="00BC4EEE"/>
    <w:rsid w:val="00BC7E79"/>
    <w:rsid w:val="00BD0ED3"/>
    <w:rsid w:val="00BD17A4"/>
    <w:rsid w:val="00BD2A83"/>
    <w:rsid w:val="00C06BDA"/>
    <w:rsid w:val="00C36BE1"/>
    <w:rsid w:val="00C377D2"/>
    <w:rsid w:val="00C42E98"/>
    <w:rsid w:val="00C51D92"/>
    <w:rsid w:val="00C553D7"/>
    <w:rsid w:val="00C60EE2"/>
    <w:rsid w:val="00C93B31"/>
    <w:rsid w:val="00C95124"/>
    <w:rsid w:val="00C9758A"/>
    <w:rsid w:val="00CB1E14"/>
    <w:rsid w:val="00CD1C2B"/>
    <w:rsid w:val="00CD54CC"/>
    <w:rsid w:val="00D10AA0"/>
    <w:rsid w:val="00D11A13"/>
    <w:rsid w:val="00D129CE"/>
    <w:rsid w:val="00D33209"/>
    <w:rsid w:val="00D447A2"/>
    <w:rsid w:val="00D475DF"/>
    <w:rsid w:val="00DB6EC4"/>
    <w:rsid w:val="00DE519F"/>
    <w:rsid w:val="00DF2055"/>
    <w:rsid w:val="00E04DB9"/>
    <w:rsid w:val="00E178DA"/>
    <w:rsid w:val="00E30DD1"/>
    <w:rsid w:val="00E3229E"/>
    <w:rsid w:val="00E72C86"/>
    <w:rsid w:val="00E73E6F"/>
    <w:rsid w:val="00E8009D"/>
    <w:rsid w:val="00EB3313"/>
    <w:rsid w:val="00EB60F8"/>
    <w:rsid w:val="00ED67F4"/>
    <w:rsid w:val="00EF3916"/>
    <w:rsid w:val="00F04E04"/>
    <w:rsid w:val="00F22D61"/>
    <w:rsid w:val="00F52A51"/>
    <w:rsid w:val="00F642EC"/>
    <w:rsid w:val="00F65832"/>
    <w:rsid w:val="00F862B3"/>
    <w:rsid w:val="00F864FA"/>
    <w:rsid w:val="00FA1EB3"/>
    <w:rsid w:val="00FA7F33"/>
    <w:rsid w:val="00FB384E"/>
    <w:rsid w:val="00FB7178"/>
    <w:rsid w:val="00FC3EBF"/>
    <w:rsid w:val="00FD7D97"/>
    <w:rsid w:val="00FF30C9"/>
    <w:rsid w:val="00FF7AA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066B2D-E6D5-4A6C-841E-0F602D179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61337"/>
    <w:pPr>
      <w:tabs>
        <w:tab w:val="center" w:pos="4536"/>
        <w:tab w:val="right" w:pos="9072"/>
      </w:tabs>
      <w:spacing w:after="0" w:line="240" w:lineRule="auto"/>
    </w:pPr>
  </w:style>
  <w:style w:type="character" w:customStyle="1" w:styleId="En-tteCar">
    <w:name w:val="En-tête Car"/>
    <w:basedOn w:val="Policepardfaut"/>
    <w:link w:val="En-tte"/>
    <w:uiPriority w:val="99"/>
    <w:rsid w:val="00B61337"/>
  </w:style>
  <w:style w:type="paragraph" w:styleId="Pieddepage">
    <w:name w:val="footer"/>
    <w:basedOn w:val="Normal"/>
    <w:link w:val="PieddepageCar"/>
    <w:uiPriority w:val="99"/>
    <w:unhideWhenUsed/>
    <w:rsid w:val="00B6133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61337"/>
  </w:style>
  <w:style w:type="paragraph" w:styleId="Textedebulles">
    <w:name w:val="Balloon Text"/>
    <w:basedOn w:val="Normal"/>
    <w:link w:val="TextedebullesCar"/>
    <w:uiPriority w:val="99"/>
    <w:semiHidden/>
    <w:unhideWhenUsed/>
    <w:rsid w:val="00B6133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133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337</Words>
  <Characters>1858</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naima</cp:lastModifiedBy>
  <cp:revision>5</cp:revision>
  <dcterms:created xsi:type="dcterms:W3CDTF">2017-05-31T13:07:00Z</dcterms:created>
  <dcterms:modified xsi:type="dcterms:W3CDTF">2017-11-28T13:45:00Z</dcterms:modified>
</cp:coreProperties>
</file>