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République Algérienne Démocratique et Populaire</w:t>
      </w:r>
    </w:p>
    <w:p w:rsidR="00E067A9" w:rsidRPr="00045614" w:rsidRDefault="00E067A9" w:rsidP="00803B51">
      <w:pPr>
        <w:autoSpaceDE w:val="0"/>
        <w:autoSpaceDN w:val="0"/>
        <w:adjustRightInd w:val="0"/>
        <w:spacing w:after="0" w:line="240" w:lineRule="auto"/>
        <w:jc w:val="center"/>
        <w:rPr>
          <w:rFonts w:ascii="SFBX1095" w:hAnsi="SFBX1095" w:cs="SFBX1095"/>
          <w:sz w:val="16"/>
          <w:szCs w:val="16"/>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Ministère de l’Enseignement Supérieur et de la Recherche Scientifique</w:t>
      </w:r>
    </w:p>
    <w:p w:rsidR="00E067A9" w:rsidRPr="00045614" w:rsidRDefault="00E067A9" w:rsidP="00803B51">
      <w:pPr>
        <w:autoSpaceDE w:val="0"/>
        <w:autoSpaceDN w:val="0"/>
        <w:adjustRightInd w:val="0"/>
        <w:spacing w:after="0" w:line="240" w:lineRule="auto"/>
        <w:jc w:val="center"/>
        <w:rPr>
          <w:rFonts w:ascii="SFBX1095" w:hAnsi="SFBX1095" w:cs="SFBX1095"/>
          <w:sz w:val="16"/>
          <w:szCs w:val="16"/>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Université des Sciences et de la Technologie Houari Boumediene</w:t>
      </w:r>
    </w:p>
    <w:p w:rsidR="00E067A9" w:rsidRPr="00045614" w:rsidRDefault="00E067A9" w:rsidP="00803B51">
      <w:pPr>
        <w:autoSpaceDE w:val="0"/>
        <w:autoSpaceDN w:val="0"/>
        <w:adjustRightInd w:val="0"/>
        <w:spacing w:after="0" w:line="240" w:lineRule="auto"/>
        <w:jc w:val="center"/>
        <w:rPr>
          <w:rFonts w:ascii="SFBX1095" w:hAnsi="SFBX1095" w:cs="SFBX1095"/>
          <w:sz w:val="16"/>
          <w:szCs w:val="16"/>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Faculté de Mathématiques</w:t>
      </w:r>
    </w:p>
    <w:p w:rsidR="00045614" w:rsidRDefault="00045614" w:rsidP="00803B51">
      <w:pPr>
        <w:autoSpaceDE w:val="0"/>
        <w:autoSpaceDN w:val="0"/>
        <w:adjustRightInd w:val="0"/>
        <w:spacing w:after="0" w:line="240" w:lineRule="auto"/>
        <w:jc w:val="center"/>
        <w:rPr>
          <w:rFonts w:ascii="SFBX1095" w:hAnsi="SFBX1095" w:cs="SFBX1095"/>
        </w:rPr>
      </w:pPr>
    </w:p>
    <w:p w:rsidR="00045614" w:rsidRDefault="00045614" w:rsidP="00803B51">
      <w:pPr>
        <w:autoSpaceDE w:val="0"/>
        <w:autoSpaceDN w:val="0"/>
        <w:adjustRightInd w:val="0"/>
        <w:spacing w:after="0" w:line="240" w:lineRule="auto"/>
        <w:jc w:val="center"/>
        <w:rPr>
          <w:rFonts w:ascii="SFBX1095" w:hAnsi="SFBX1095" w:cs="SFBX1095"/>
        </w:rPr>
      </w:pPr>
      <w:r>
        <w:rPr>
          <w:rFonts w:ascii="SFBX1095" w:hAnsi="SFBX1095" w:cs="SFBX1095"/>
          <w:noProof/>
          <w:lang w:val="en-US"/>
        </w:rPr>
        <w:drawing>
          <wp:inline distT="0" distB="0" distL="0" distR="0">
            <wp:extent cx="842057" cy="814388"/>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839660" cy="812070"/>
                    </a:xfrm>
                    <a:prstGeom prst="rect">
                      <a:avLst/>
                    </a:prstGeom>
                    <a:noFill/>
                    <a:ln w="9525">
                      <a:noFill/>
                      <a:miter lim="800000"/>
                      <a:headEnd/>
                      <a:tailEnd/>
                    </a:ln>
                  </pic:spPr>
                </pic:pic>
              </a:graphicData>
            </a:graphic>
          </wp:inline>
        </w:drawing>
      </w: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Résumé du Mémoire de Magister en Mathématiques</w:t>
      </w:r>
    </w:p>
    <w:p w:rsidR="00E067A9" w:rsidRPr="00045614" w:rsidRDefault="00E067A9" w:rsidP="00803B51">
      <w:pPr>
        <w:autoSpaceDE w:val="0"/>
        <w:autoSpaceDN w:val="0"/>
        <w:adjustRightInd w:val="0"/>
        <w:spacing w:after="0" w:line="240" w:lineRule="auto"/>
        <w:jc w:val="center"/>
        <w:rPr>
          <w:rFonts w:ascii="SFBX1095" w:hAnsi="SFBX1095" w:cs="SFBX1095"/>
          <w:sz w:val="16"/>
          <w:szCs w:val="16"/>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Option : Probabilités et Statistique</w:t>
      </w:r>
    </w:p>
    <w:p w:rsidR="00E067A9" w:rsidRDefault="00E067A9" w:rsidP="00803B51">
      <w:pPr>
        <w:autoSpaceDE w:val="0"/>
        <w:autoSpaceDN w:val="0"/>
        <w:adjustRightInd w:val="0"/>
        <w:spacing w:after="0" w:line="240" w:lineRule="auto"/>
        <w:jc w:val="center"/>
        <w:rPr>
          <w:rFonts w:ascii="SFBX1095" w:hAnsi="SFBX1095" w:cs="SFBX1095"/>
        </w:rPr>
      </w:pPr>
    </w:p>
    <w:p w:rsidR="00803B51" w:rsidRDefault="00803B51" w:rsidP="00803B51">
      <w:pPr>
        <w:autoSpaceDE w:val="0"/>
        <w:autoSpaceDN w:val="0"/>
        <w:adjustRightInd w:val="0"/>
        <w:spacing w:after="0" w:line="240" w:lineRule="auto"/>
        <w:jc w:val="center"/>
        <w:rPr>
          <w:rFonts w:ascii="SFRM0800" w:hAnsi="SFRM0800" w:cs="SFRM0800"/>
          <w:sz w:val="16"/>
          <w:szCs w:val="16"/>
        </w:rPr>
      </w:pPr>
      <w:r>
        <w:rPr>
          <w:rFonts w:ascii="SFRM1095" w:hAnsi="SFRM1095" w:cs="SFRM1095"/>
        </w:rPr>
        <w:t>Présenté par</w:t>
      </w:r>
      <w:r w:rsidRPr="00045614">
        <w:rPr>
          <w:rFonts w:ascii="SFRM0800" w:hAnsi="SFRM0800" w:cs="SFRM0800"/>
          <w:sz w:val="16"/>
          <w:szCs w:val="16"/>
          <w:vertAlign w:val="superscript"/>
        </w:rPr>
        <w:t>1</w:t>
      </w:r>
    </w:p>
    <w:p w:rsidR="00E067A9" w:rsidRDefault="00E067A9" w:rsidP="00803B51">
      <w:pPr>
        <w:autoSpaceDE w:val="0"/>
        <w:autoSpaceDN w:val="0"/>
        <w:adjustRightInd w:val="0"/>
        <w:spacing w:after="0" w:line="240" w:lineRule="auto"/>
        <w:jc w:val="center"/>
        <w:rPr>
          <w:rFonts w:ascii="SFRM0800" w:hAnsi="SFRM0800" w:cs="SFRM0800"/>
          <w:sz w:val="16"/>
          <w:szCs w:val="16"/>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BEY Siham</w:t>
      </w:r>
    </w:p>
    <w:p w:rsidR="00E067A9" w:rsidRDefault="00E067A9" w:rsidP="00803B51">
      <w:pPr>
        <w:autoSpaceDE w:val="0"/>
        <w:autoSpaceDN w:val="0"/>
        <w:adjustRightInd w:val="0"/>
        <w:spacing w:after="0" w:line="240" w:lineRule="auto"/>
        <w:jc w:val="center"/>
        <w:rPr>
          <w:rFonts w:ascii="SFBX1095" w:hAnsi="SFBX1095" w:cs="SFBX1095"/>
        </w:rPr>
      </w:pPr>
    </w:p>
    <w:p w:rsidR="00803B51" w:rsidRDefault="00803B51" w:rsidP="00803B51">
      <w:pPr>
        <w:autoSpaceDE w:val="0"/>
        <w:autoSpaceDN w:val="0"/>
        <w:adjustRightInd w:val="0"/>
        <w:spacing w:after="0" w:line="240" w:lineRule="auto"/>
        <w:jc w:val="center"/>
        <w:rPr>
          <w:rFonts w:ascii="SFBX1095" w:hAnsi="SFBX1095" w:cs="SFBX1095"/>
        </w:rPr>
      </w:pPr>
      <w:r>
        <w:rPr>
          <w:rFonts w:ascii="SFBX1095" w:hAnsi="SFBX1095" w:cs="SFBX1095"/>
        </w:rPr>
        <w:t>Thème :</w:t>
      </w:r>
    </w:p>
    <w:p w:rsidR="00045614" w:rsidRDefault="00045614" w:rsidP="00045614">
      <w:pPr>
        <w:autoSpaceDE w:val="0"/>
        <w:autoSpaceDN w:val="0"/>
        <w:adjustRightInd w:val="0"/>
        <w:spacing w:after="0" w:line="240" w:lineRule="auto"/>
        <w:rPr>
          <w:rFonts w:ascii="SFBX1095" w:hAnsi="SFBX1095" w:cs="SFBX1095"/>
        </w:rPr>
      </w:pPr>
    </w:p>
    <w:p w:rsidR="00E067A9" w:rsidRDefault="00B966BE" w:rsidP="00803B51">
      <w:pPr>
        <w:autoSpaceDE w:val="0"/>
        <w:autoSpaceDN w:val="0"/>
        <w:adjustRightInd w:val="0"/>
        <w:spacing w:after="0" w:line="240" w:lineRule="auto"/>
        <w:jc w:val="center"/>
        <w:rPr>
          <w:rFonts w:ascii="SFBX1095" w:hAnsi="SFBX1095" w:cs="SFBX1095"/>
        </w:rPr>
      </w:pPr>
      <w:r w:rsidRPr="00B966BE">
        <w:rPr>
          <w:rFonts w:ascii="SFBX1095" w:hAnsi="SFBX1095" w:cs="SFBX1095"/>
          <w:noProof/>
          <w:lang w:eastAsia="fr-FR"/>
        </w:rPr>
        <w:pict>
          <v:rect id="_x0000_s1026" style="position:absolute;left:0;text-align:left;margin-left:69.35pt;margin-top:2.65pt;width:317.9pt;height:58pt;z-index:251658240" filled="f" strokeweight="2pt"/>
        </w:pict>
      </w:r>
    </w:p>
    <w:p w:rsidR="00803B51" w:rsidRDefault="00803B51" w:rsidP="00803B51">
      <w:pPr>
        <w:autoSpaceDE w:val="0"/>
        <w:autoSpaceDN w:val="0"/>
        <w:adjustRightInd w:val="0"/>
        <w:spacing w:after="0" w:line="240" w:lineRule="auto"/>
        <w:jc w:val="center"/>
        <w:rPr>
          <w:rFonts w:ascii="SFBX1440" w:hAnsi="SFBX1440" w:cs="SFBX1440"/>
          <w:sz w:val="29"/>
          <w:szCs w:val="29"/>
        </w:rPr>
      </w:pPr>
      <w:r>
        <w:rPr>
          <w:rFonts w:ascii="SFBX1440" w:hAnsi="SFBX1440" w:cs="SFBX1440"/>
          <w:sz w:val="29"/>
          <w:szCs w:val="29"/>
        </w:rPr>
        <w:t>Encadrement de la Probabilité de Ruine</w:t>
      </w:r>
    </w:p>
    <w:p w:rsidR="00803B51" w:rsidRDefault="00803B51" w:rsidP="00803B51">
      <w:pPr>
        <w:autoSpaceDE w:val="0"/>
        <w:autoSpaceDN w:val="0"/>
        <w:adjustRightInd w:val="0"/>
        <w:spacing w:after="0" w:line="240" w:lineRule="auto"/>
        <w:jc w:val="center"/>
        <w:rPr>
          <w:rFonts w:ascii="SFBX1440" w:hAnsi="SFBX1440" w:cs="SFBX1440"/>
          <w:sz w:val="29"/>
          <w:szCs w:val="29"/>
        </w:rPr>
      </w:pPr>
      <w:r>
        <w:rPr>
          <w:rFonts w:ascii="SFBX1440" w:hAnsi="SFBX1440" w:cs="SFBX1440"/>
          <w:sz w:val="29"/>
          <w:szCs w:val="29"/>
        </w:rPr>
        <w:t>dans les Modèles de Risque</w:t>
      </w:r>
    </w:p>
    <w:p w:rsidR="00803B51" w:rsidRDefault="00803B51" w:rsidP="00803B51">
      <w:pPr>
        <w:jc w:val="center"/>
        <w:rPr>
          <w:rFonts w:ascii="F16" w:hAnsi="F16" w:cs="F16"/>
          <w:sz w:val="24"/>
          <w:szCs w:val="24"/>
        </w:rPr>
      </w:pPr>
    </w:p>
    <w:p w:rsidR="00E067A9" w:rsidRDefault="00B966BE" w:rsidP="00803B51">
      <w:pPr>
        <w:jc w:val="center"/>
        <w:rPr>
          <w:rFonts w:ascii="F16" w:hAnsi="F16" w:cs="F16"/>
          <w:sz w:val="24"/>
          <w:szCs w:val="24"/>
        </w:rPr>
      </w:pPr>
      <w:r w:rsidRPr="00B966BE">
        <w:rPr>
          <w:rFonts w:ascii="F16" w:hAnsi="F16" w:cs="F16"/>
          <w:noProof/>
          <w:sz w:val="24"/>
          <w:szCs w:val="24"/>
          <w:lang w:eastAsia="fr-FR"/>
        </w:rPr>
        <w:pict>
          <v:rect id="_x0000_s1027" style="position:absolute;left:0;text-align:left;margin-left:-9.7pt;margin-top:9.8pt;width:470.25pt;height:320.5pt;z-index:251659264" filled="f"/>
        </w:pict>
      </w:r>
    </w:p>
    <w:p w:rsidR="00803B51" w:rsidRPr="00803B51" w:rsidRDefault="00803B51" w:rsidP="00803B51">
      <w:pPr>
        <w:jc w:val="center"/>
        <w:rPr>
          <w:b/>
          <w:i/>
          <w:sz w:val="28"/>
          <w:szCs w:val="28"/>
          <w:u w:val="single"/>
        </w:rPr>
      </w:pPr>
      <w:r w:rsidRPr="00803B51">
        <w:rPr>
          <w:b/>
          <w:i/>
          <w:sz w:val="28"/>
          <w:szCs w:val="28"/>
          <w:u w:val="single"/>
        </w:rPr>
        <w:t>Résumé</w:t>
      </w:r>
    </w:p>
    <w:p w:rsidR="00803B51" w:rsidRDefault="00803B51" w:rsidP="00803B51">
      <w:r>
        <w:t xml:space="preserve">On présente le modèle de risque classique ou de </w:t>
      </w:r>
      <w:proofErr w:type="spellStart"/>
      <w:r w:rsidRPr="00803B51">
        <w:rPr>
          <w:i/>
        </w:rPr>
        <w:t>Cramér</w:t>
      </w:r>
      <w:proofErr w:type="spellEnd"/>
      <w:r w:rsidRPr="00803B51">
        <w:rPr>
          <w:i/>
        </w:rPr>
        <w:t>-</w:t>
      </w:r>
      <w:proofErr w:type="spellStart"/>
      <w:r w:rsidRPr="00803B51">
        <w:rPr>
          <w:i/>
        </w:rPr>
        <w:t>Lundberg</w:t>
      </w:r>
      <w:proofErr w:type="spellEnd"/>
      <w:r>
        <w:t xml:space="preserve">  qui a été largement étudié puis généralisé par le modèle de risque de renouvellement où une somme géométrique des sinistres du type </w:t>
      </w:r>
      <w:proofErr w:type="spellStart"/>
      <w:r w:rsidRPr="00803B51">
        <w:rPr>
          <w:i/>
        </w:rPr>
        <w:t>Sparre</w:t>
      </w:r>
      <w:proofErr w:type="spellEnd"/>
      <w:r w:rsidRPr="00803B51">
        <w:rPr>
          <w:i/>
        </w:rPr>
        <w:t xml:space="preserve"> Andersen</w:t>
      </w:r>
      <w:r>
        <w:t xml:space="preserve">  est considérée, lorsque l'assureur dispose d'un excédent  de capital. On s'</w:t>
      </w:r>
      <w:proofErr w:type="spellStart"/>
      <w:r>
        <w:t>interesse</w:t>
      </w:r>
      <w:proofErr w:type="spellEnd"/>
      <w:r>
        <w:t xml:space="preserve"> à la distribution du montant du déficit à l'instant de ruine que l'on appelle </w:t>
      </w:r>
      <w:r w:rsidRPr="00803B51">
        <w:rPr>
          <w:i/>
        </w:rPr>
        <w:t>sévérité de la ruine</w:t>
      </w:r>
      <w:r>
        <w:t>. L'étude analytique est en général assez complexe. On s'intéresse ici à l'obtention d'encadrement de la sévérité de la ruine (majoration et minoration). Différents types de bornes seront considérés; les bornes générales puis exponentielles obtenues en utilisant les bornes existantes et l'équation intégrale pour la sévérité de la ruine.</w:t>
      </w:r>
    </w:p>
    <w:p w:rsidR="00803B51" w:rsidRDefault="00803B51" w:rsidP="00803B51">
      <w:r>
        <w:t xml:space="preserve">Ensuite, nous étudierons les améliorations lorsque la distribution associée au processus de surplus appartient à des classes non paramétriques de fiabilité. </w:t>
      </w:r>
    </w:p>
    <w:p w:rsidR="00E02906" w:rsidRDefault="00803B51" w:rsidP="00803B51">
      <w:r>
        <w:t>Comme exemple d'application, un calcul analytique de certaines bornes est possible si on considère que les montants des sinistres suivent un mélange d'</w:t>
      </w:r>
      <w:proofErr w:type="spellStart"/>
      <w:r>
        <w:t>Erlangs</w:t>
      </w:r>
      <w:proofErr w:type="spellEnd"/>
      <w:r>
        <w:t>. Dans les cas particuliers Exponentiel et Erlang d'ordre 2, nous faisons varier certains paramètres qui interviennent dans le modèle et ont une influence sur la qualité des bornes. Ces influences se voient dans les représentations graphiques effectuées qui par la suite seront interprétées.</w:t>
      </w:r>
    </w:p>
    <w:p w:rsidR="00E067A9" w:rsidRDefault="00E067A9" w:rsidP="00803B51"/>
    <w:p w:rsidR="00E067A9" w:rsidRDefault="00E067A9" w:rsidP="00803B51">
      <w:r w:rsidRPr="00E067A9">
        <w:rPr>
          <w:vertAlign w:val="superscript"/>
        </w:rPr>
        <w:t>1</w:t>
      </w:r>
      <w:r>
        <w:t xml:space="preserve"> </w:t>
      </w:r>
      <w:r>
        <w:rPr>
          <w:rFonts w:ascii="SFRM0900" w:hAnsi="SFRM0900" w:cs="SFRM0900"/>
          <w:sz w:val="18"/>
          <w:szCs w:val="18"/>
        </w:rPr>
        <w:t>Sous la direction de : Amar AISSANI, Professeur à l’USTHB.</w:t>
      </w:r>
    </w:p>
    <w:sectPr w:rsidR="00E067A9" w:rsidSect="00A35204">
      <w:pgSz w:w="11906" w:h="16838"/>
      <w:pgMar w:top="1247"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SFBX1095">
    <w:altName w:val="Times New Roman"/>
    <w:panose1 w:val="00000000000000000000"/>
    <w:charset w:val="00"/>
    <w:family w:val="auto"/>
    <w:notTrueType/>
    <w:pitch w:val="default"/>
    <w:sig w:usb0="00000003" w:usb1="00000000" w:usb2="00000000" w:usb3="00000000" w:csb0="00000001" w:csb1="00000000"/>
  </w:font>
  <w:font w:name="SFRM1095">
    <w:altName w:val="Times New Roman"/>
    <w:panose1 w:val="00000000000000000000"/>
    <w:charset w:val="00"/>
    <w:family w:val="auto"/>
    <w:notTrueType/>
    <w:pitch w:val="default"/>
    <w:sig w:usb0="00000003" w:usb1="00000000" w:usb2="00000000" w:usb3="00000000" w:csb0="00000001" w:csb1="00000000"/>
  </w:font>
  <w:font w:name="SFRM0800">
    <w:altName w:val="Times New Roman"/>
    <w:panose1 w:val="00000000000000000000"/>
    <w:charset w:val="00"/>
    <w:family w:val="auto"/>
    <w:notTrueType/>
    <w:pitch w:val="default"/>
    <w:sig w:usb0="00000003" w:usb1="00000000" w:usb2="00000000" w:usb3="00000000" w:csb0="00000001" w:csb1="00000000"/>
  </w:font>
  <w:font w:name="SFBX1440">
    <w:altName w:val="Times New Roman"/>
    <w:panose1 w:val="00000000000000000000"/>
    <w:charset w:val="00"/>
    <w:family w:val="auto"/>
    <w:notTrueType/>
    <w:pitch w:val="default"/>
    <w:sig w:usb0="00000003" w:usb1="00000000" w:usb2="00000000" w:usb3="00000000" w:csb0="00000001" w:csb1="00000000"/>
  </w:font>
  <w:font w:name="F16">
    <w:altName w:val="Arial"/>
    <w:panose1 w:val="00000000000000000000"/>
    <w:charset w:val="00"/>
    <w:family w:val="swiss"/>
    <w:notTrueType/>
    <w:pitch w:val="default"/>
    <w:sig w:usb0="00000003" w:usb1="00000000" w:usb2="00000000" w:usb3="00000000" w:csb0="00000001" w:csb1="00000000"/>
  </w:font>
  <w:font w:name="SFRM0900">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3"/>
  <w:proofState w:spelling="clean" w:grammar="clean"/>
  <w:defaultTabStop w:val="708"/>
  <w:hyphenationZone w:val="425"/>
  <w:characterSpacingControl w:val="doNotCompress"/>
  <w:compat/>
  <w:rsids>
    <w:rsidRoot w:val="00803B51"/>
    <w:rsid w:val="00045614"/>
    <w:rsid w:val="001C4615"/>
    <w:rsid w:val="00803B51"/>
    <w:rsid w:val="00A35204"/>
    <w:rsid w:val="00B966BE"/>
    <w:rsid w:val="00C00B76"/>
    <w:rsid w:val="00E02906"/>
    <w:rsid w:val="00E067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90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4561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4561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271</Words>
  <Characters>1546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BOUDEMIA</cp:lastModifiedBy>
  <cp:revision>2</cp:revision>
  <dcterms:created xsi:type="dcterms:W3CDTF">2011-07-13T10:47:00Z</dcterms:created>
  <dcterms:modified xsi:type="dcterms:W3CDTF">2011-07-14T11:56:00Z</dcterms:modified>
</cp:coreProperties>
</file>