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5DD7" w:rsidRPr="00B97FC4" w:rsidRDefault="00B05DD7" w:rsidP="00B97FC4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B97FC4">
        <w:rPr>
          <w:rFonts w:asciiTheme="majorBidi" w:hAnsiTheme="majorBidi" w:cstheme="majorBidi"/>
          <w:b/>
          <w:bCs/>
          <w:sz w:val="28"/>
          <w:szCs w:val="28"/>
        </w:rPr>
        <w:t>Résumé</w:t>
      </w:r>
      <w:r w:rsidR="00B97FC4" w:rsidRPr="00B97FC4">
        <w:rPr>
          <w:rFonts w:asciiTheme="majorBidi" w:hAnsiTheme="majorBidi" w:cstheme="majorBidi"/>
          <w:b/>
          <w:bCs/>
          <w:sz w:val="28"/>
          <w:szCs w:val="28"/>
        </w:rPr>
        <w:t> :</w:t>
      </w:r>
    </w:p>
    <w:p w:rsidR="00BB30AD" w:rsidRDefault="00BB30AD" w:rsidP="00C86F6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7E097D" w:rsidRPr="007E097D" w:rsidRDefault="00B05DD7" w:rsidP="0018692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C86F6B">
        <w:rPr>
          <w:rFonts w:asciiTheme="majorBidi" w:hAnsiTheme="majorBidi" w:cstheme="majorBidi"/>
          <w:sz w:val="24"/>
          <w:szCs w:val="24"/>
        </w:rPr>
        <w:t>Le système hypothalamo-neurohypophysaire (SHN</w:t>
      </w:r>
      <w:r w:rsidR="007E097D">
        <w:rPr>
          <w:rFonts w:asciiTheme="majorBidi" w:hAnsiTheme="majorBidi" w:cstheme="majorBidi"/>
          <w:sz w:val="24"/>
          <w:szCs w:val="24"/>
        </w:rPr>
        <w:t>H</w:t>
      </w:r>
      <w:r w:rsidRPr="00C86F6B">
        <w:rPr>
          <w:rFonts w:asciiTheme="majorBidi" w:hAnsiTheme="majorBidi" w:cstheme="majorBidi"/>
          <w:sz w:val="24"/>
          <w:szCs w:val="24"/>
        </w:rPr>
        <w:t>) est constitué de neurones</w:t>
      </w:r>
      <w:r w:rsidR="00BB30AD">
        <w:rPr>
          <w:rFonts w:asciiTheme="majorBidi" w:hAnsiTheme="majorBidi" w:cstheme="majorBidi"/>
          <w:sz w:val="24"/>
          <w:szCs w:val="24"/>
        </w:rPr>
        <w:t xml:space="preserve"> </w:t>
      </w:r>
      <w:r w:rsidRPr="00C86F6B">
        <w:rPr>
          <w:rFonts w:asciiTheme="majorBidi" w:hAnsiTheme="majorBidi" w:cstheme="majorBidi"/>
          <w:sz w:val="24"/>
          <w:szCs w:val="24"/>
        </w:rPr>
        <w:t>magnocellulaires qui sécrètent deux neurohormones vitales, la vasopressine (</w:t>
      </w:r>
      <w:r w:rsidR="00BB30AD">
        <w:rPr>
          <w:rFonts w:asciiTheme="majorBidi" w:hAnsiTheme="majorBidi" w:cstheme="majorBidi"/>
          <w:sz w:val="24"/>
          <w:szCs w:val="24"/>
        </w:rPr>
        <w:t>A</w:t>
      </w:r>
      <w:r w:rsidRPr="00C86F6B">
        <w:rPr>
          <w:rFonts w:asciiTheme="majorBidi" w:hAnsiTheme="majorBidi" w:cstheme="majorBidi"/>
          <w:sz w:val="24"/>
          <w:szCs w:val="24"/>
        </w:rPr>
        <w:t>VP),</w:t>
      </w:r>
      <w:r w:rsidR="00C86F6B" w:rsidRPr="00C86F6B">
        <w:rPr>
          <w:rFonts w:asciiTheme="majorBidi" w:hAnsiTheme="majorBidi" w:cstheme="majorBidi"/>
          <w:sz w:val="24"/>
          <w:szCs w:val="24"/>
        </w:rPr>
        <w:t xml:space="preserve"> </w:t>
      </w:r>
      <w:r w:rsidRPr="00C86F6B">
        <w:rPr>
          <w:rFonts w:asciiTheme="majorBidi" w:hAnsiTheme="majorBidi" w:cstheme="majorBidi"/>
          <w:sz w:val="24"/>
          <w:szCs w:val="24"/>
        </w:rPr>
        <w:t>importante dans le contrôle hydrominéral et cardiovasculaire et l’ocytocine (OT),</w:t>
      </w:r>
      <w:r w:rsidR="00C86F6B" w:rsidRPr="00C86F6B">
        <w:rPr>
          <w:rFonts w:asciiTheme="majorBidi" w:hAnsiTheme="majorBidi" w:cstheme="majorBidi"/>
          <w:sz w:val="24"/>
          <w:szCs w:val="24"/>
        </w:rPr>
        <w:t xml:space="preserve"> </w:t>
      </w:r>
      <w:r w:rsidRPr="00C86F6B">
        <w:rPr>
          <w:rFonts w:asciiTheme="majorBidi" w:hAnsiTheme="majorBidi" w:cstheme="majorBidi"/>
          <w:sz w:val="24"/>
          <w:szCs w:val="24"/>
        </w:rPr>
        <w:t>intervenant notamment dans la régulation de la p</w:t>
      </w:r>
      <w:r w:rsidR="00075B83">
        <w:rPr>
          <w:rFonts w:asciiTheme="majorBidi" w:hAnsiTheme="majorBidi" w:cstheme="majorBidi"/>
          <w:sz w:val="24"/>
          <w:szCs w:val="24"/>
        </w:rPr>
        <w:t xml:space="preserve">arturition et de l’allaitement. </w:t>
      </w:r>
      <w:r w:rsidR="007E097D">
        <w:rPr>
          <w:rFonts w:asciiTheme="majorBidi" w:hAnsiTheme="majorBidi" w:cstheme="majorBidi"/>
          <w:sz w:val="24"/>
          <w:szCs w:val="24"/>
          <w:lang w:val="fr-FR"/>
        </w:rPr>
        <w:t xml:space="preserve">Ce </w:t>
      </w:r>
      <w:r w:rsidR="00075B83">
        <w:rPr>
          <w:rFonts w:asciiTheme="majorBidi" w:hAnsiTheme="majorBidi" w:cstheme="majorBidi"/>
          <w:sz w:val="24"/>
          <w:szCs w:val="24"/>
          <w:lang w:val="fr-FR"/>
        </w:rPr>
        <w:t>système</w:t>
      </w:r>
      <w:r w:rsidR="007E097D" w:rsidRPr="007E097D">
        <w:rPr>
          <w:rFonts w:asciiTheme="majorBidi" w:hAnsiTheme="majorBidi" w:cstheme="majorBidi"/>
          <w:sz w:val="24"/>
          <w:szCs w:val="24"/>
          <w:lang w:val="fr-FR"/>
        </w:rPr>
        <w:t xml:space="preserve"> est morphologiquement bien défini chez le rat. Il représente un modèle neuroendocrine de choix pour l’étude de la plasticité morpho-fonctionnelle. Chez la souris, bien que l’organisation du SHNH présente des analogies avec celle du rat, elle reste tout de même moins bien exploitée. </w:t>
      </w:r>
    </w:p>
    <w:p w:rsidR="00A87F89" w:rsidRDefault="003847A2" w:rsidP="00DC689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C86F6B">
        <w:rPr>
          <w:rFonts w:asciiTheme="majorBidi" w:hAnsiTheme="majorBidi" w:cstheme="majorBidi"/>
          <w:sz w:val="24"/>
          <w:szCs w:val="24"/>
        </w:rPr>
        <w:t>Le présent travail porte</w:t>
      </w:r>
      <w:r>
        <w:rPr>
          <w:rFonts w:asciiTheme="majorBidi" w:hAnsiTheme="majorBidi" w:cstheme="majorBidi"/>
          <w:sz w:val="24"/>
          <w:szCs w:val="24"/>
        </w:rPr>
        <w:t xml:space="preserve"> sur l’étude de la topographie et cytoarchitecture des noyaux hypothalamiques (NSO, NRC et NPV) et leurs terminaisons dans l</w:t>
      </w:r>
      <w:r w:rsidR="00DC689E">
        <w:rPr>
          <w:rFonts w:asciiTheme="majorBidi" w:hAnsiTheme="majorBidi" w:cstheme="majorBidi"/>
          <w:sz w:val="24"/>
          <w:szCs w:val="24"/>
        </w:rPr>
        <w:t>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DC689E">
        <w:rPr>
          <w:rFonts w:asciiTheme="majorBidi" w:hAnsiTheme="majorBidi" w:cstheme="majorBidi"/>
          <w:sz w:val="24"/>
          <w:szCs w:val="24"/>
        </w:rPr>
        <w:t>lobe nerveux</w:t>
      </w:r>
      <w:r>
        <w:rPr>
          <w:rFonts w:asciiTheme="majorBidi" w:hAnsiTheme="majorBidi" w:cstheme="majorBidi"/>
          <w:sz w:val="24"/>
          <w:szCs w:val="24"/>
        </w:rPr>
        <w:t xml:space="preserve"> (</w:t>
      </w:r>
      <w:r w:rsidR="00DC689E">
        <w:rPr>
          <w:rFonts w:asciiTheme="majorBidi" w:hAnsiTheme="majorBidi" w:cstheme="majorBidi"/>
          <w:sz w:val="24"/>
          <w:szCs w:val="24"/>
        </w:rPr>
        <w:t>LN</w:t>
      </w:r>
      <w:r>
        <w:rPr>
          <w:rFonts w:asciiTheme="majorBidi" w:hAnsiTheme="majorBidi" w:cstheme="majorBidi"/>
          <w:sz w:val="24"/>
          <w:szCs w:val="24"/>
        </w:rPr>
        <w:t>)</w:t>
      </w:r>
      <w:r w:rsidR="00211F9E">
        <w:rPr>
          <w:rFonts w:asciiTheme="majorBidi" w:hAnsiTheme="majorBidi" w:cstheme="majorBidi"/>
          <w:sz w:val="24"/>
          <w:szCs w:val="24"/>
        </w:rPr>
        <w:t xml:space="preserve">, chez la souris de laboratoire </w:t>
      </w:r>
      <w:r w:rsidR="00211F9E" w:rsidRPr="00BB30AD">
        <w:rPr>
          <w:rFonts w:asciiTheme="majorBidi" w:hAnsiTheme="majorBidi" w:cstheme="majorBidi"/>
          <w:i/>
          <w:iCs/>
          <w:sz w:val="24"/>
          <w:szCs w:val="24"/>
        </w:rPr>
        <w:t>Mus musculus</w:t>
      </w:r>
      <w:r w:rsidR="00211F9E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211F9E" w:rsidRPr="00211F9E">
        <w:rPr>
          <w:rFonts w:asciiTheme="majorBidi" w:hAnsiTheme="majorBidi" w:cstheme="majorBidi"/>
          <w:sz w:val="24"/>
          <w:szCs w:val="24"/>
        </w:rPr>
        <w:t>(témoin et soumise à un stress hydrique par boisson d’eau salée à 2%</w:t>
      </w:r>
      <w:r w:rsidR="00211F9E">
        <w:rPr>
          <w:rFonts w:asciiTheme="majorBidi" w:hAnsiTheme="majorBidi" w:cstheme="majorBidi"/>
          <w:sz w:val="24"/>
          <w:szCs w:val="24"/>
        </w:rPr>
        <w:t xml:space="preserve"> pendant 7 jours). Nous </w:t>
      </w:r>
      <w:r w:rsidR="00A87F89">
        <w:rPr>
          <w:rFonts w:asciiTheme="majorBidi" w:hAnsiTheme="majorBidi" w:cstheme="majorBidi"/>
          <w:sz w:val="24"/>
          <w:szCs w:val="24"/>
        </w:rPr>
        <w:t>avons utilisé</w:t>
      </w:r>
      <w:r w:rsidR="00211F9E">
        <w:rPr>
          <w:rFonts w:asciiTheme="majorBidi" w:hAnsiTheme="majorBidi" w:cstheme="majorBidi"/>
          <w:sz w:val="24"/>
          <w:szCs w:val="24"/>
        </w:rPr>
        <w:t xml:space="preserve"> des techniques essentiellement morphologiques (histologique</w:t>
      </w:r>
      <w:r w:rsidR="00211F9E" w:rsidRPr="00C86F6B">
        <w:rPr>
          <w:rFonts w:asciiTheme="majorBidi" w:hAnsiTheme="majorBidi" w:cstheme="majorBidi"/>
          <w:sz w:val="24"/>
          <w:szCs w:val="24"/>
        </w:rPr>
        <w:t>,</w:t>
      </w:r>
      <w:r w:rsidR="00211F9E" w:rsidRPr="00211F9E">
        <w:rPr>
          <w:rFonts w:asciiTheme="majorBidi" w:hAnsiTheme="majorBidi" w:cstheme="majorBidi"/>
          <w:sz w:val="24"/>
          <w:szCs w:val="24"/>
        </w:rPr>
        <w:t xml:space="preserve"> </w:t>
      </w:r>
      <w:r w:rsidR="00211F9E" w:rsidRPr="00C86F6B">
        <w:rPr>
          <w:rFonts w:asciiTheme="majorBidi" w:hAnsiTheme="majorBidi" w:cstheme="majorBidi"/>
          <w:sz w:val="24"/>
          <w:szCs w:val="24"/>
        </w:rPr>
        <w:t>morphométrie)</w:t>
      </w:r>
      <w:r w:rsidR="00A87F89">
        <w:rPr>
          <w:rFonts w:asciiTheme="majorBidi" w:hAnsiTheme="majorBidi" w:cstheme="majorBidi"/>
          <w:sz w:val="24"/>
          <w:szCs w:val="24"/>
        </w:rPr>
        <w:t xml:space="preserve">. </w:t>
      </w:r>
    </w:p>
    <w:p w:rsidR="007E097D" w:rsidRDefault="00A87F89" w:rsidP="00E54695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Nous avons démontré que la topographie </w:t>
      </w:r>
      <w:r w:rsidR="000765AE">
        <w:rPr>
          <w:rFonts w:asciiTheme="majorBidi" w:hAnsiTheme="majorBidi" w:cstheme="majorBidi"/>
          <w:sz w:val="24"/>
          <w:szCs w:val="24"/>
        </w:rPr>
        <w:t xml:space="preserve">des noyaux hypothalamiques </w:t>
      </w:r>
      <w:r>
        <w:rPr>
          <w:rFonts w:asciiTheme="majorBidi" w:hAnsiTheme="majorBidi" w:cstheme="majorBidi"/>
          <w:sz w:val="24"/>
          <w:szCs w:val="24"/>
        </w:rPr>
        <w:t xml:space="preserve">est très proche </w:t>
      </w:r>
      <w:r w:rsidR="00E54695">
        <w:rPr>
          <w:rFonts w:asciiTheme="majorBidi" w:hAnsiTheme="majorBidi" w:cstheme="majorBidi"/>
          <w:sz w:val="24"/>
          <w:szCs w:val="24"/>
        </w:rPr>
        <w:t>à d’autre rongeur (rat)</w:t>
      </w:r>
      <w:r w:rsidR="00E54695" w:rsidRPr="00C86F6B">
        <w:rPr>
          <w:rFonts w:asciiTheme="majorBidi" w:hAnsiTheme="majorBidi" w:cstheme="majorBidi"/>
          <w:sz w:val="24"/>
          <w:szCs w:val="24"/>
        </w:rPr>
        <w:t>.</w:t>
      </w:r>
      <w:r w:rsidR="000765AE">
        <w:rPr>
          <w:rFonts w:asciiTheme="majorBidi" w:hAnsiTheme="majorBidi" w:cstheme="majorBidi"/>
          <w:sz w:val="24"/>
          <w:szCs w:val="24"/>
        </w:rPr>
        <w:t xml:space="preserve"> Nous avons noté aussi une augmentation </w:t>
      </w:r>
      <w:r w:rsidR="005C7FB2">
        <w:rPr>
          <w:rFonts w:asciiTheme="majorBidi" w:hAnsiTheme="majorBidi" w:cstheme="majorBidi"/>
          <w:sz w:val="24"/>
          <w:szCs w:val="24"/>
        </w:rPr>
        <w:t>de la profondeur rostro-caudal, chez la souris soumise à un stress hydrique.</w:t>
      </w:r>
    </w:p>
    <w:p w:rsidR="005A36C8" w:rsidRDefault="009A15CD" w:rsidP="0012567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En complément à </w:t>
      </w:r>
      <w:r w:rsidR="00716256">
        <w:rPr>
          <w:rFonts w:asciiTheme="majorBidi" w:hAnsiTheme="majorBidi" w:cstheme="majorBidi"/>
          <w:sz w:val="24"/>
          <w:szCs w:val="24"/>
        </w:rPr>
        <w:t>nos travaux</w:t>
      </w:r>
      <w:r w:rsidR="0018692C">
        <w:rPr>
          <w:rFonts w:asciiTheme="majorBidi" w:hAnsiTheme="majorBidi" w:cstheme="majorBidi"/>
          <w:sz w:val="24"/>
          <w:szCs w:val="24"/>
        </w:rPr>
        <w:t xml:space="preserve">, nous avons </w:t>
      </w:r>
      <w:r w:rsidR="00BE0B2E">
        <w:rPr>
          <w:rFonts w:asciiTheme="majorBidi" w:hAnsiTheme="majorBidi" w:cstheme="majorBidi"/>
          <w:sz w:val="24"/>
          <w:szCs w:val="24"/>
        </w:rPr>
        <w:t xml:space="preserve">réalisé une étude cytoarchitecturale des noyaux hypothalamiques </w:t>
      </w:r>
      <w:r w:rsidR="002A42EA">
        <w:rPr>
          <w:rFonts w:asciiTheme="majorBidi" w:hAnsiTheme="majorBidi" w:cstheme="majorBidi"/>
          <w:sz w:val="24"/>
          <w:szCs w:val="24"/>
        </w:rPr>
        <w:t>ainsi que l</w:t>
      </w:r>
      <w:r w:rsidR="00DC689E">
        <w:rPr>
          <w:rFonts w:asciiTheme="majorBidi" w:hAnsiTheme="majorBidi" w:cstheme="majorBidi"/>
          <w:sz w:val="24"/>
          <w:szCs w:val="24"/>
        </w:rPr>
        <w:t>e LN</w:t>
      </w:r>
      <w:r w:rsidR="002A42EA">
        <w:rPr>
          <w:rFonts w:asciiTheme="majorBidi" w:hAnsiTheme="majorBidi" w:cstheme="majorBidi"/>
          <w:sz w:val="24"/>
          <w:szCs w:val="24"/>
        </w:rPr>
        <w:t xml:space="preserve">, chez la souris </w:t>
      </w:r>
      <w:r w:rsidR="002A42EA" w:rsidRPr="00BB30AD">
        <w:rPr>
          <w:rFonts w:asciiTheme="majorBidi" w:hAnsiTheme="majorBidi" w:cstheme="majorBidi"/>
          <w:i/>
          <w:iCs/>
          <w:sz w:val="24"/>
          <w:szCs w:val="24"/>
        </w:rPr>
        <w:t>C57BL6</w:t>
      </w:r>
      <w:r w:rsidR="00B958B4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B958B4" w:rsidRPr="00B958B4">
        <w:rPr>
          <w:rFonts w:asciiTheme="majorBidi" w:hAnsiTheme="majorBidi" w:cstheme="majorBidi"/>
          <w:sz w:val="24"/>
          <w:szCs w:val="24"/>
        </w:rPr>
        <w:t>(</w:t>
      </w:r>
      <w:r w:rsidR="00B958B4">
        <w:rPr>
          <w:rFonts w:asciiTheme="majorBidi" w:hAnsiTheme="majorBidi" w:cstheme="majorBidi"/>
          <w:sz w:val="24"/>
          <w:szCs w:val="24"/>
        </w:rPr>
        <w:t>témoin et soumise à un stress hydrique</w:t>
      </w:r>
      <w:r w:rsidR="00B958B4" w:rsidRPr="002A442B">
        <w:rPr>
          <w:rFonts w:asciiTheme="majorBidi" w:hAnsiTheme="majorBidi" w:cstheme="majorBidi"/>
          <w:sz w:val="24"/>
          <w:szCs w:val="24"/>
        </w:rPr>
        <w:t>)</w:t>
      </w:r>
      <w:r w:rsidR="002A442B" w:rsidRPr="002A442B">
        <w:rPr>
          <w:rFonts w:asciiTheme="majorBidi" w:hAnsiTheme="majorBidi" w:cstheme="majorBidi"/>
          <w:sz w:val="24"/>
          <w:szCs w:val="24"/>
        </w:rPr>
        <w:t xml:space="preserve"> par la technique</w:t>
      </w:r>
      <w:r w:rsidR="002A442B">
        <w:rPr>
          <w:rFonts w:asciiTheme="majorBidi" w:hAnsiTheme="majorBidi" w:cstheme="majorBidi"/>
          <w:sz w:val="24"/>
          <w:szCs w:val="24"/>
        </w:rPr>
        <w:t xml:space="preserve"> immunohistochimique. Utilisant </w:t>
      </w:r>
      <w:r w:rsidR="002A442B" w:rsidRPr="002A442B">
        <w:rPr>
          <w:rFonts w:asciiTheme="majorBidi" w:hAnsiTheme="majorBidi" w:cstheme="majorBidi"/>
          <w:sz w:val="24"/>
          <w:szCs w:val="24"/>
          <w:lang w:val="fr-FR"/>
        </w:rPr>
        <w:t>des anticorps antivasopressine (anti-AVP) pour la mise en évidence des NMC et anti-GFAP pour la mise en évidence des astrocytes.</w:t>
      </w:r>
      <w:r w:rsidR="00A747AB">
        <w:rPr>
          <w:rFonts w:asciiTheme="majorBidi" w:hAnsiTheme="majorBidi" w:cstheme="majorBidi"/>
          <w:sz w:val="24"/>
          <w:szCs w:val="24"/>
          <w:lang w:val="fr-FR"/>
        </w:rPr>
        <w:t xml:space="preserve"> Les résultats montrent que les </w:t>
      </w:r>
      <w:r w:rsidR="00A747AB">
        <w:rPr>
          <w:rFonts w:asciiTheme="majorBidi" w:hAnsiTheme="majorBidi" w:cstheme="majorBidi"/>
          <w:sz w:val="24"/>
          <w:szCs w:val="24"/>
        </w:rPr>
        <w:t>NSO, NRC et NPV sont le siège d’</w:t>
      </w:r>
      <w:r w:rsidR="003B6485">
        <w:rPr>
          <w:rFonts w:asciiTheme="majorBidi" w:hAnsiTheme="majorBidi" w:cstheme="majorBidi"/>
          <w:sz w:val="24"/>
          <w:szCs w:val="24"/>
        </w:rPr>
        <w:t>une réorganisation morpho-structurale, suite à une stimulation osmotique.</w:t>
      </w:r>
      <w:r w:rsidR="006543E4">
        <w:rPr>
          <w:rFonts w:asciiTheme="majorBidi" w:hAnsiTheme="majorBidi" w:cstheme="majorBidi"/>
          <w:sz w:val="24"/>
          <w:szCs w:val="24"/>
        </w:rPr>
        <w:t xml:space="preserve"> En effet, nos résultats montrent que ces noyaux sont caractérisés par une hypertrophie de leurs NMC</w:t>
      </w:r>
      <w:r w:rsidR="00F67F32">
        <w:rPr>
          <w:rFonts w:asciiTheme="majorBidi" w:hAnsiTheme="majorBidi" w:cstheme="majorBidi"/>
          <w:sz w:val="24"/>
          <w:szCs w:val="24"/>
        </w:rPr>
        <w:t>s</w:t>
      </w:r>
      <w:r w:rsidR="006543E4">
        <w:rPr>
          <w:rFonts w:asciiTheme="majorBidi" w:hAnsiTheme="majorBidi" w:cstheme="majorBidi"/>
          <w:sz w:val="24"/>
          <w:szCs w:val="24"/>
        </w:rPr>
        <w:t xml:space="preserve">. Ainsi qu’une rétraction astrocytaire, qui permettrait une </w:t>
      </w:r>
      <w:r w:rsidR="00226A40">
        <w:rPr>
          <w:rFonts w:asciiTheme="majorBidi" w:hAnsiTheme="majorBidi" w:cstheme="majorBidi"/>
          <w:sz w:val="24"/>
          <w:szCs w:val="24"/>
        </w:rPr>
        <w:t>augmentation des appositions neuronales.</w:t>
      </w:r>
      <w:r w:rsidR="00B96367">
        <w:rPr>
          <w:rFonts w:asciiTheme="majorBidi" w:hAnsiTheme="majorBidi" w:cstheme="majorBidi"/>
          <w:sz w:val="24"/>
          <w:szCs w:val="24"/>
        </w:rPr>
        <w:t xml:space="preserve"> Parallèlement, nos observations confirment que dans l</w:t>
      </w:r>
      <w:r w:rsidR="0012567E">
        <w:rPr>
          <w:rFonts w:asciiTheme="majorBidi" w:hAnsiTheme="majorBidi" w:cstheme="majorBidi"/>
          <w:sz w:val="24"/>
          <w:szCs w:val="24"/>
        </w:rPr>
        <w:t xml:space="preserve">e LN </w:t>
      </w:r>
      <w:r w:rsidR="00B96367">
        <w:rPr>
          <w:rFonts w:asciiTheme="majorBidi" w:hAnsiTheme="majorBidi" w:cstheme="majorBidi"/>
          <w:sz w:val="24"/>
          <w:szCs w:val="24"/>
        </w:rPr>
        <w:t xml:space="preserve">des souris stimulées, les pituicytes </w:t>
      </w:r>
      <w:r w:rsidR="00F7441A">
        <w:rPr>
          <w:rFonts w:asciiTheme="majorBidi" w:hAnsiTheme="majorBidi" w:cstheme="majorBidi"/>
          <w:sz w:val="24"/>
          <w:szCs w:val="24"/>
        </w:rPr>
        <w:t>s’éloignent des capillaires sanguins, ce qui favorise</w:t>
      </w:r>
      <w:r w:rsidR="007049F4">
        <w:rPr>
          <w:rFonts w:asciiTheme="majorBidi" w:hAnsiTheme="majorBidi" w:cstheme="majorBidi"/>
          <w:sz w:val="24"/>
          <w:szCs w:val="24"/>
        </w:rPr>
        <w:t xml:space="preserve"> une augmentation des contactes neuro-hémaux</w:t>
      </w:r>
      <w:r w:rsidR="000A7747">
        <w:rPr>
          <w:rFonts w:asciiTheme="majorBidi" w:hAnsiTheme="majorBidi" w:cstheme="majorBidi"/>
          <w:sz w:val="24"/>
          <w:szCs w:val="24"/>
        </w:rPr>
        <w:t xml:space="preserve"> et par conséquent une libération plus importante des neurohormones dans la circulation sanguine.</w:t>
      </w:r>
    </w:p>
    <w:p w:rsidR="002748EF" w:rsidRDefault="002748EF" w:rsidP="005A36C8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2A42EA" w:rsidRPr="00A747AB" w:rsidRDefault="005A36C8" w:rsidP="007C3E8C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2748EF">
        <w:rPr>
          <w:rFonts w:asciiTheme="majorBidi" w:hAnsiTheme="majorBidi" w:cstheme="majorBidi"/>
          <w:b/>
          <w:bCs/>
          <w:sz w:val="24"/>
          <w:szCs w:val="24"/>
        </w:rPr>
        <w:t>Mots clés </w:t>
      </w:r>
      <w:r>
        <w:rPr>
          <w:rFonts w:asciiTheme="majorBidi" w:hAnsiTheme="majorBidi" w:cstheme="majorBidi"/>
          <w:sz w:val="24"/>
          <w:szCs w:val="24"/>
        </w:rPr>
        <w:t xml:space="preserve">: </w:t>
      </w:r>
      <w:r w:rsidR="002748EF">
        <w:rPr>
          <w:rFonts w:asciiTheme="majorBidi" w:hAnsiTheme="majorBidi" w:cstheme="majorBidi"/>
          <w:sz w:val="24"/>
          <w:szCs w:val="24"/>
        </w:rPr>
        <w:t xml:space="preserve">NSO - NRC – NPV – </w:t>
      </w:r>
      <w:r w:rsidR="007C3E8C">
        <w:rPr>
          <w:rFonts w:asciiTheme="majorBidi" w:hAnsiTheme="majorBidi" w:cstheme="majorBidi"/>
          <w:sz w:val="24"/>
          <w:szCs w:val="24"/>
        </w:rPr>
        <w:t>LN</w:t>
      </w:r>
      <w:r w:rsidR="002748EF">
        <w:rPr>
          <w:rFonts w:asciiTheme="majorBidi" w:hAnsiTheme="majorBidi" w:cstheme="majorBidi"/>
          <w:sz w:val="24"/>
          <w:szCs w:val="24"/>
        </w:rPr>
        <w:t xml:space="preserve"> – plasticité neuro-gliale – </w:t>
      </w:r>
      <w:r w:rsidR="002748EF" w:rsidRPr="002748EF">
        <w:rPr>
          <w:rFonts w:asciiTheme="majorBidi" w:hAnsiTheme="majorBidi" w:cstheme="majorBidi"/>
          <w:i/>
          <w:iCs/>
          <w:sz w:val="24"/>
          <w:szCs w:val="24"/>
        </w:rPr>
        <w:t>Mus musculus</w:t>
      </w:r>
      <w:r w:rsidR="002748EF">
        <w:rPr>
          <w:rFonts w:asciiTheme="majorBidi" w:hAnsiTheme="majorBidi" w:cstheme="majorBidi"/>
          <w:sz w:val="24"/>
          <w:szCs w:val="24"/>
        </w:rPr>
        <w:t xml:space="preserve"> – </w:t>
      </w:r>
      <w:r w:rsidR="002748EF" w:rsidRPr="002748EF">
        <w:rPr>
          <w:rFonts w:asciiTheme="majorBidi" w:hAnsiTheme="majorBidi" w:cstheme="majorBidi"/>
          <w:i/>
          <w:iCs/>
          <w:sz w:val="24"/>
          <w:szCs w:val="24"/>
        </w:rPr>
        <w:t>C57BL6.</w:t>
      </w:r>
      <w:r w:rsidR="00B96367">
        <w:rPr>
          <w:rFonts w:asciiTheme="majorBidi" w:hAnsiTheme="majorBidi" w:cstheme="majorBidi"/>
          <w:sz w:val="24"/>
          <w:szCs w:val="24"/>
        </w:rPr>
        <w:t xml:space="preserve"> </w:t>
      </w:r>
    </w:p>
    <w:sectPr w:rsidR="002A42EA" w:rsidRPr="00A747AB" w:rsidSect="00D1234F">
      <w:foot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258E" w:rsidRDefault="0030258E" w:rsidP="00E67217">
      <w:pPr>
        <w:spacing w:after="0" w:line="240" w:lineRule="auto"/>
      </w:pPr>
      <w:r>
        <w:separator/>
      </w:r>
    </w:p>
  </w:endnote>
  <w:endnote w:type="continuationSeparator" w:id="1">
    <w:p w:rsidR="0030258E" w:rsidRDefault="0030258E" w:rsidP="00E67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080844"/>
      <w:docPartObj>
        <w:docPartGallery w:val="Page Numbers (Bottom of Page)"/>
        <w:docPartUnique/>
      </w:docPartObj>
    </w:sdtPr>
    <w:sdtEndPr>
      <w:rPr>
        <w:rFonts w:asciiTheme="majorBidi" w:hAnsiTheme="majorBidi" w:cstheme="majorBidi"/>
        <w:sz w:val="24"/>
        <w:szCs w:val="24"/>
      </w:rPr>
    </w:sdtEndPr>
    <w:sdtContent>
      <w:p w:rsidR="00E67217" w:rsidRPr="00464AB8" w:rsidRDefault="00360132">
        <w:pPr>
          <w:pStyle w:val="Footer"/>
          <w:jc w:val="center"/>
          <w:rPr>
            <w:rFonts w:asciiTheme="majorBidi" w:hAnsiTheme="majorBidi" w:cstheme="majorBidi"/>
            <w:color w:val="4F81BD" w:themeColor="accent1"/>
            <w:sz w:val="40"/>
            <w:szCs w:val="40"/>
          </w:rPr>
        </w:pPr>
        <w:r w:rsidRPr="00464AB8">
          <w:rPr>
            <w:rFonts w:asciiTheme="majorBidi" w:hAnsiTheme="majorBidi" w:cstheme="majorBidi"/>
            <w:sz w:val="24"/>
            <w:szCs w:val="24"/>
          </w:rPr>
          <w:fldChar w:fldCharType="begin"/>
        </w:r>
        <w:r w:rsidR="00E67217" w:rsidRPr="00464AB8">
          <w:rPr>
            <w:rFonts w:asciiTheme="majorBidi" w:hAnsiTheme="majorBidi" w:cstheme="majorBidi"/>
            <w:sz w:val="24"/>
            <w:szCs w:val="24"/>
          </w:rPr>
          <w:instrText xml:space="preserve"> PAGE   \* MERGEFORMAT </w:instrText>
        </w:r>
        <w:r w:rsidRPr="00464AB8">
          <w:rPr>
            <w:rFonts w:asciiTheme="majorBidi" w:hAnsiTheme="majorBidi" w:cstheme="majorBidi"/>
            <w:sz w:val="24"/>
            <w:szCs w:val="24"/>
          </w:rPr>
          <w:fldChar w:fldCharType="separate"/>
        </w:r>
        <w:r w:rsidR="00F67F32">
          <w:rPr>
            <w:rFonts w:asciiTheme="majorBidi" w:hAnsiTheme="majorBidi" w:cstheme="majorBidi"/>
            <w:noProof/>
            <w:sz w:val="24"/>
            <w:szCs w:val="24"/>
          </w:rPr>
          <w:t>1</w:t>
        </w:r>
        <w:r w:rsidRPr="00464AB8">
          <w:rPr>
            <w:rFonts w:asciiTheme="majorBidi" w:hAnsiTheme="majorBidi" w:cstheme="majorBidi"/>
            <w:sz w:val="24"/>
            <w:szCs w:val="24"/>
          </w:rPr>
          <w:fldChar w:fldCharType="end"/>
        </w:r>
      </w:p>
    </w:sdtContent>
  </w:sdt>
  <w:p w:rsidR="00E67217" w:rsidRDefault="00E6721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258E" w:rsidRDefault="0030258E" w:rsidP="00E67217">
      <w:pPr>
        <w:spacing w:after="0" w:line="240" w:lineRule="auto"/>
      </w:pPr>
      <w:r>
        <w:separator/>
      </w:r>
    </w:p>
  </w:footnote>
  <w:footnote w:type="continuationSeparator" w:id="1">
    <w:p w:rsidR="0030258E" w:rsidRDefault="0030258E" w:rsidP="00E6721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05DD7"/>
    <w:rsid w:val="000413A9"/>
    <w:rsid w:val="00075B83"/>
    <w:rsid w:val="000765AE"/>
    <w:rsid w:val="000A7747"/>
    <w:rsid w:val="000D0B33"/>
    <w:rsid w:val="0012567E"/>
    <w:rsid w:val="0018692C"/>
    <w:rsid w:val="00211F9E"/>
    <w:rsid w:val="00226A40"/>
    <w:rsid w:val="002748EF"/>
    <w:rsid w:val="002A42EA"/>
    <w:rsid w:val="002A442B"/>
    <w:rsid w:val="0030258E"/>
    <w:rsid w:val="00357434"/>
    <w:rsid w:val="00360132"/>
    <w:rsid w:val="003847A2"/>
    <w:rsid w:val="003B6485"/>
    <w:rsid w:val="00464AB8"/>
    <w:rsid w:val="0051330B"/>
    <w:rsid w:val="00527864"/>
    <w:rsid w:val="005A36C8"/>
    <w:rsid w:val="005C7FB2"/>
    <w:rsid w:val="006543E4"/>
    <w:rsid w:val="00692A4F"/>
    <w:rsid w:val="007049F4"/>
    <w:rsid w:val="00716256"/>
    <w:rsid w:val="007C3E8C"/>
    <w:rsid w:val="007E097D"/>
    <w:rsid w:val="00983159"/>
    <w:rsid w:val="009A15CD"/>
    <w:rsid w:val="00A05547"/>
    <w:rsid w:val="00A747AB"/>
    <w:rsid w:val="00A87F89"/>
    <w:rsid w:val="00B05DD7"/>
    <w:rsid w:val="00B27ECD"/>
    <w:rsid w:val="00B843D8"/>
    <w:rsid w:val="00B958B4"/>
    <w:rsid w:val="00B96367"/>
    <w:rsid w:val="00B97FC4"/>
    <w:rsid w:val="00BB30AD"/>
    <w:rsid w:val="00BE0B2E"/>
    <w:rsid w:val="00C704AA"/>
    <w:rsid w:val="00C86F6B"/>
    <w:rsid w:val="00D1234F"/>
    <w:rsid w:val="00D1319D"/>
    <w:rsid w:val="00DC689E"/>
    <w:rsid w:val="00E54695"/>
    <w:rsid w:val="00E67217"/>
    <w:rsid w:val="00F67F32"/>
    <w:rsid w:val="00F744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MC" w:eastAsia="fr-M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23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E672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67217"/>
  </w:style>
  <w:style w:type="paragraph" w:styleId="Footer">
    <w:name w:val="footer"/>
    <w:basedOn w:val="Normal"/>
    <w:link w:val="FooterChar"/>
    <w:uiPriority w:val="99"/>
    <w:unhideWhenUsed/>
    <w:rsid w:val="00E672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721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982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XPSP2</Company>
  <LinksUpToDate>false</LinksUpToDate>
  <CharactersWithSpaces>2312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Home</cp:lastModifiedBy>
  <cp:revision>35</cp:revision>
  <dcterms:created xsi:type="dcterms:W3CDTF">2011-02-27T14:50:00Z</dcterms:created>
  <dcterms:modified xsi:type="dcterms:W3CDTF">2012-10-16T19:50:00Z</dcterms:modified>
</cp:coreProperties>
</file>