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6708" w:rsidRDefault="00E66708">
      <w:pPr>
        <w:pStyle w:val="Style1"/>
        <w:widowControl/>
        <w:rPr>
          <w:rStyle w:val="FontStyle11"/>
          <w:lang w:val="fr-FR" w:eastAsia="fr-FR"/>
        </w:rPr>
      </w:pPr>
    </w:p>
    <w:p w:rsidR="00E66708" w:rsidRDefault="00E66708">
      <w:pPr>
        <w:pStyle w:val="Style1"/>
        <w:widowControl/>
        <w:rPr>
          <w:rStyle w:val="FontStyle11"/>
          <w:lang w:val="fr-FR" w:eastAsia="fr-FR"/>
        </w:rPr>
      </w:pPr>
    </w:p>
    <w:p w:rsidR="00E66708" w:rsidRDefault="00E66708">
      <w:pPr>
        <w:pStyle w:val="Style1"/>
        <w:widowControl/>
        <w:rPr>
          <w:rStyle w:val="FontStyle11"/>
          <w:b/>
          <w:bCs/>
          <w:u w:val="single"/>
          <w:lang w:val="fr-FR" w:eastAsia="fr-FR"/>
        </w:rPr>
      </w:pPr>
      <w:r w:rsidRPr="00E66708">
        <w:rPr>
          <w:rStyle w:val="FontStyle11"/>
          <w:b/>
          <w:bCs/>
          <w:u w:val="single"/>
          <w:lang w:val="fr-FR" w:eastAsia="fr-FR"/>
        </w:rPr>
        <w:t>RESUME :</w:t>
      </w:r>
    </w:p>
    <w:p w:rsidR="00E66708" w:rsidRPr="00E66708" w:rsidRDefault="00E66708">
      <w:pPr>
        <w:pStyle w:val="Style1"/>
        <w:widowControl/>
        <w:rPr>
          <w:rStyle w:val="FontStyle11"/>
          <w:b/>
          <w:bCs/>
          <w:u w:val="single"/>
          <w:lang w:val="fr-FR" w:eastAsia="fr-FR"/>
        </w:rPr>
      </w:pPr>
    </w:p>
    <w:p w:rsidR="00000000" w:rsidRDefault="009C0C95" w:rsidP="00E66708">
      <w:pPr>
        <w:pStyle w:val="Style1"/>
        <w:widowControl/>
        <w:jc w:val="both"/>
        <w:rPr>
          <w:rStyle w:val="FontStyle11"/>
          <w:lang w:val="es-ES_tradnl" w:eastAsia="fr-FR"/>
        </w:rPr>
      </w:pPr>
      <w:r>
        <w:rPr>
          <w:rStyle w:val="FontStyle11"/>
          <w:lang w:val="fr-FR" w:eastAsia="fr-FR"/>
        </w:rPr>
        <w:t>Les manipulations de thermocourants qui ont fait plus précisément l'objet de ce travail ont permis d'atteindre l'objectif fixé, à savoir</w:t>
      </w:r>
      <w:r>
        <w:rPr>
          <w:rStyle w:val="FontStyle11"/>
          <w:lang w:val="es-ES_tradnl" w:eastAsia="fr-FR"/>
        </w:rPr>
        <w:t xml:space="preserve"> :</w:t>
      </w:r>
      <w:r>
        <w:rPr>
          <w:rStyle w:val="FontStyle11"/>
          <w:lang w:val="fr-FR" w:eastAsia="fr-FR"/>
        </w:rPr>
        <w:t xml:space="preserve"> l'étude des mouvements molé</w:t>
      </w:r>
      <w:r>
        <w:rPr>
          <w:rStyle w:val="FontStyle11"/>
          <w:lang w:val="fr-FR" w:eastAsia="fr-FR"/>
        </w:rPr>
        <w:t>culaires, l'incidence du traitement thermique sur la micro structure à l'état vitreux (vieillissement physique) et à l'état caoutchoutique (recuit)</w:t>
      </w:r>
      <w:r>
        <w:rPr>
          <w:rStyle w:val="FontStyle11"/>
          <w:lang w:val="es-ES_tradnl" w:eastAsia="fr-FR"/>
        </w:rPr>
        <w:t xml:space="preserve"> „ </w:t>
      </w:r>
      <w:r>
        <w:rPr>
          <w:rStyle w:val="FontStyle11"/>
          <w:lang w:val="fr-FR" w:eastAsia="fr-FR"/>
        </w:rPr>
        <w:t>Notre mémoire de thèse comporte</w:t>
      </w:r>
      <w:r>
        <w:rPr>
          <w:rStyle w:val="FontStyle11"/>
          <w:lang w:val="es-ES_tradnl" w:eastAsia="fr-FR"/>
        </w:rPr>
        <w:t xml:space="preserve"> 5</w:t>
      </w:r>
      <w:r>
        <w:rPr>
          <w:rStyle w:val="FontStyle11"/>
          <w:lang w:val="fr-FR" w:eastAsia="fr-FR"/>
        </w:rPr>
        <w:t xml:space="preserve"> chapitres</w:t>
      </w:r>
      <w:r>
        <w:rPr>
          <w:rStyle w:val="FontStyle11"/>
          <w:lang w:val="es-ES_tradnl" w:eastAsia="fr-FR"/>
        </w:rPr>
        <w:t xml:space="preserve"> :</w:t>
      </w:r>
    </w:p>
    <w:p w:rsidR="00000000" w:rsidRDefault="009C0C95" w:rsidP="00E66708">
      <w:pPr>
        <w:pStyle w:val="Style2"/>
        <w:widowControl/>
        <w:numPr>
          <w:ilvl w:val="0"/>
          <w:numId w:val="1"/>
        </w:numPr>
        <w:tabs>
          <w:tab w:val="left" w:pos="355"/>
        </w:tabs>
        <w:spacing w:before="461"/>
        <w:ind w:left="355" w:right="19"/>
        <w:jc w:val="both"/>
        <w:rPr>
          <w:rStyle w:val="FontStyle11"/>
          <w:lang w:val="es-ES_tradnl" w:eastAsia="es-ES_tradnl"/>
        </w:rPr>
      </w:pPr>
      <w:r>
        <w:rPr>
          <w:rStyle w:val="FontStyle11"/>
          <w:lang w:val="fr-FR" w:eastAsia="fr-FR"/>
        </w:rPr>
        <w:t>Dans le premier chapitre, nous rappelons quelques notion</w:t>
      </w:r>
      <w:r>
        <w:rPr>
          <w:rStyle w:val="FontStyle11"/>
          <w:lang w:val="fr-FR" w:eastAsia="fr-FR"/>
        </w:rPr>
        <w:t>s de la chimie macromoléculaire. La morphologie des polymères ainsi que les principales transitions et relaxations y sont développées.</w:t>
      </w:r>
    </w:p>
    <w:p w:rsidR="00000000" w:rsidRDefault="009C0C95" w:rsidP="00E66708">
      <w:pPr>
        <w:pStyle w:val="Style2"/>
        <w:widowControl/>
        <w:numPr>
          <w:ilvl w:val="0"/>
          <w:numId w:val="1"/>
        </w:numPr>
        <w:tabs>
          <w:tab w:val="left" w:pos="355"/>
        </w:tabs>
        <w:spacing w:before="14" w:line="442" w:lineRule="exact"/>
        <w:ind w:left="355" w:right="24"/>
        <w:jc w:val="both"/>
        <w:rPr>
          <w:rStyle w:val="FontStyle11"/>
          <w:lang w:val="es-ES_tradnl" w:eastAsia="es-ES_tradnl"/>
        </w:rPr>
      </w:pPr>
      <w:r>
        <w:rPr>
          <w:rStyle w:val="FontStyle11"/>
          <w:lang w:val="fr-FR" w:eastAsia="fr-FR"/>
        </w:rPr>
        <w:t>Dans le deuxième chapitre nous présentons d'une manière théorique le phénomène de vieillissement physique dans les po</w:t>
      </w:r>
      <w:r>
        <w:rPr>
          <w:rStyle w:val="FontStyle11"/>
          <w:lang w:val="fr-FR" w:eastAsia="fr-FR"/>
        </w:rPr>
        <w:t>lymères, son mécanisme ainsi que ses effets apparents</w:t>
      </w:r>
      <w:r>
        <w:rPr>
          <w:rStyle w:val="FontStyle11"/>
          <w:lang w:val="es-ES_tradnl" w:eastAsia="fr-FR"/>
        </w:rPr>
        <w:t xml:space="preserve"> .</w:t>
      </w:r>
    </w:p>
    <w:p w:rsidR="00000000" w:rsidRDefault="009C0C95" w:rsidP="00E66708">
      <w:pPr>
        <w:pStyle w:val="Style3"/>
        <w:widowControl/>
        <w:spacing w:before="14"/>
        <w:ind w:left="365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Nous détaillerons aussi la démarche à suivre par CTS pour l'obtention et l'analyse de ce phénomène.</w:t>
      </w:r>
    </w:p>
    <w:p w:rsidR="00000000" w:rsidRDefault="009C0C95" w:rsidP="00E66708">
      <w:pPr>
        <w:pStyle w:val="Style2"/>
        <w:widowControl/>
        <w:numPr>
          <w:ilvl w:val="0"/>
          <w:numId w:val="1"/>
        </w:numPr>
        <w:tabs>
          <w:tab w:val="left" w:pos="355"/>
        </w:tabs>
        <w:spacing w:before="24" w:line="442" w:lineRule="exact"/>
        <w:ind w:left="355" w:right="34"/>
        <w:jc w:val="both"/>
        <w:rPr>
          <w:rStyle w:val="FontStyle11"/>
          <w:lang w:val="es-ES_tradnl" w:eastAsia="es-ES_tradnl"/>
        </w:rPr>
      </w:pPr>
      <w:r>
        <w:rPr>
          <w:rStyle w:val="FontStyle11"/>
          <w:lang w:val="fr-FR" w:eastAsia="fr-FR"/>
        </w:rPr>
        <w:t>Dans le troisième chapitre nous présentons les théories classiques utilisées dans l'étude des mo</w:t>
      </w:r>
      <w:r>
        <w:rPr>
          <w:rStyle w:val="FontStyle11"/>
          <w:lang w:val="fr-FR" w:eastAsia="fr-FR"/>
        </w:rPr>
        <w:t>uvements moléculaires dans les polymères. Nous insisterons sur la technique des CTS</w:t>
      </w:r>
    </w:p>
    <w:p w:rsidR="00000000" w:rsidRDefault="009C0C95" w:rsidP="00E66708">
      <w:pPr>
        <w:pStyle w:val="Style2"/>
        <w:widowControl/>
        <w:numPr>
          <w:ilvl w:val="0"/>
          <w:numId w:val="1"/>
        </w:numPr>
        <w:tabs>
          <w:tab w:val="left" w:pos="355"/>
        </w:tabs>
        <w:spacing w:before="34"/>
        <w:ind w:left="355" w:right="34"/>
        <w:jc w:val="both"/>
        <w:rPr>
          <w:rStyle w:val="FontStyle11"/>
          <w:lang w:val="es-ES_tradnl" w:eastAsia="es-ES_tradnl"/>
        </w:rPr>
      </w:pPr>
      <w:r>
        <w:rPr>
          <w:rStyle w:val="FontStyle11"/>
          <w:lang w:val="fr-FR" w:eastAsia="fr-FR"/>
        </w:rPr>
        <w:t>Le quatrième chapitre est consacré au dispositif expérimental utilisé et à l'échantillon à étudier.</w:t>
      </w:r>
    </w:p>
    <w:p w:rsidR="00000000" w:rsidRDefault="009C0C95" w:rsidP="00E66708">
      <w:pPr>
        <w:pStyle w:val="Style2"/>
        <w:widowControl/>
        <w:numPr>
          <w:ilvl w:val="0"/>
          <w:numId w:val="1"/>
        </w:numPr>
        <w:tabs>
          <w:tab w:val="left" w:pos="355"/>
        </w:tabs>
        <w:spacing w:before="19" w:line="446" w:lineRule="exact"/>
        <w:ind w:left="355" w:right="62"/>
        <w:jc w:val="both"/>
        <w:rPr>
          <w:rStyle w:val="FontStyle11"/>
          <w:lang w:val="es-ES_tradnl" w:eastAsia="es-ES_tradnl"/>
        </w:rPr>
      </w:pPr>
      <w:r>
        <w:rPr>
          <w:rStyle w:val="FontStyle11"/>
          <w:lang w:val="fr-FR" w:eastAsia="fr-FR"/>
        </w:rPr>
        <w:t>Dans le dernier chapitre nous exposerons les résultats expé</w:t>
      </w:r>
      <w:r>
        <w:rPr>
          <w:rStyle w:val="FontStyle11"/>
          <w:lang w:val="fr-FR" w:eastAsia="fr-FR"/>
        </w:rPr>
        <w:t>rimentaux sous</w:t>
      </w:r>
      <w:r>
        <w:rPr>
          <w:rStyle w:val="FontStyle11"/>
          <w:lang w:val="es-ES_tradnl" w:eastAsia="fr-FR"/>
        </w:rPr>
        <w:t xml:space="preserve"> 3 </w:t>
      </w:r>
      <w:r>
        <w:rPr>
          <w:rStyle w:val="FontStyle11"/>
          <w:lang w:val="fr-FR" w:eastAsia="fr-FR"/>
        </w:rPr>
        <w:t>volets</w:t>
      </w:r>
      <w:r>
        <w:rPr>
          <w:rStyle w:val="FontStyle11"/>
          <w:lang w:val="es-ES_tradnl" w:eastAsia="fr-FR"/>
        </w:rPr>
        <w:t xml:space="preserve"> :</w:t>
      </w:r>
    </w:p>
    <w:p w:rsidR="00000000" w:rsidRPr="00E66708" w:rsidRDefault="009C0C95" w:rsidP="00E66708">
      <w:pPr>
        <w:widowControl/>
        <w:jc w:val="both"/>
        <w:rPr>
          <w:sz w:val="2"/>
          <w:szCs w:val="2"/>
          <w:lang w:val="fr-FR"/>
        </w:rPr>
      </w:pPr>
    </w:p>
    <w:p w:rsidR="00000000" w:rsidRDefault="009C0C95" w:rsidP="00E66708">
      <w:pPr>
        <w:pStyle w:val="Style4"/>
        <w:widowControl/>
        <w:numPr>
          <w:ilvl w:val="0"/>
          <w:numId w:val="2"/>
        </w:numPr>
        <w:tabs>
          <w:tab w:val="left" w:pos="1522"/>
        </w:tabs>
        <w:spacing w:line="446" w:lineRule="exact"/>
        <w:ind w:left="1522"/>
        <w:jc w:val="both"/>
        <w:rPr>
          <w:rStyle w:val="FontStyle11"/>
          <w:lang w:val="es-ES_tradnl" w:eastAsia="es-ES_tradnl"/>
        </w:rPr>
      </w:pPr>
      <w:r>
        <w:rPr>
          <w:rStyle w:val="FontStyle11"/>
          <w:lang w:val="fr-FR" w:eastAsia="fr-FR"/>
        </w:rPr>
        <w:t>les résultats et discussions concernant les mouvements moléculaires impliqués dans les différentes transitions et relaxations.</w:t>
      </w:r>
    </w:p>
    <w:p w:rsidR="00000000" w:rsidRDefault="009C0C95" w:rsidP="00E66708">
      <w:pPr>
        <w:pStyle w:val="Style4"/>
        <w:widowControl/>
        <w:numPr>
          <w:ilvl w:val="0"/>
          <w:numId w:val="2"/>
        </w:numPr>
        <w:tabs>
          <w:tab w:val="left" w:pos="1522"/>
        </w:tabs>
        <w:spacing w:line="446" w:lineRule="exact"/>
        <w:ind w:left="1522"/>
        <w:jc w:val="both"/>
        <w:rPr>
          <w:rStyle w:val="FontStyle11"/>
          <w:lang w:val="es-ES_tradnl" w:eastAsia="es-ES_tradnl"/>
        </w:rPr>
      </w:pPr>
      <w:r>
        <w:rPr>
          <w:rStyle w:val="FontStyle11"/>
          <w:lang w:val="fr-FR" w:eastAsia="fr-FR"/>
        </w:rPr>
        <w:t>les résultats de l'effet du recuit caoutchoutique sur du PET initialement amorphe.</w:t>
      </w:r>
    </w:p>
    <w:p w:rsidR="00E66708" w:rsidRDefault="009C0C95" w:rsidP="00E66708">
      <w:pPr>
        <w:pStyle w:val="Style4"/>
        <w:widowControl/>
        <w:numPr>
          <w:ilvl w:val="0"/>
          <w:numId w:val="2"/>
        </w:numPr>
        <w:tabs>
          <w:tab w:val="left" w:pos="1522"/>
        </w:tabs>
        <w:spacing w:line="446" w:lineRule="exact"/>
        <w:ind w:left="1162" w:firstLine="0"/>
        <w:jc w:val="both"/>
        <w:rPr>
          <w:rStyle w:val="FontStyle11"/>
          <w:lang w:val="es-ES_tradnl" w:eastAsia="es-ES_tradnl"/>
        </w:rPr>
      </w:pPr>
      <w:r>
        <w:rPr>
          <w:rStyle w:val="FontStyle11"/>
          <w:lang w:val="fr-FR" w:eastAsia="fr-FR"/>
        </w:rPr>
        <w:t>les ré</w:t>
      </w:r>
      <w:r>
        <w:rPr>
          <w:rStyle w:val="FontStyle11"/>
          <w:lang w:val="fr-FR" w:eastAsia="fr-FR"/>
        </w:rPr>
        <w:t>sultats de l'effet du vieillissement physique.</w:t>
      </w:r>
    </w:p>
    <w:sectPr w:rsidR="00E66708">
      <w:type w:val="continuous"/>
      <w:pgSz w:w="11905" w:h="16837"/>
      <w:pgMar w:top="1172" w:right="1275" w:bottom="1440" w:left="1783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0C95" w:rsidRDefault="009C0C95">
      <w:r>
        <w:separator/>
      </w:r>
    </w:p>
  </w:endnote>
  <w:endnote w:type="continuationSeparator" w:id="1">
    <w:p w:rsidR="009C0C95" w:rsidRDefault="009C0C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0C95" w:rsidRDefault="009C0C95">
      <w:r>
        <w:separator/>
      </w:r>
    </w:p>
  </w:footnote>
  <w:footnote w:type="continuationSeparator" w:id="1">
    <w:p w:rsidR="009C0C95" w:rsidRDefault="009C0C9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4C78A0"/>
    <w:lvl w:ilvl="0">
      <w:numFmt w:val="bullet"/>
      <w:lvlText w:val="*"/>
      <w:lvlJc w:val="left"/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355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E66708"/>
    <w:rsid w:val="009C0C95"/>
    <w:rsid w:val="00E667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olicepardfaut">
    <w:name w:val="Default Paragraph Font"/>
    <w:uiPriority w:val="99"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  <w:pPr>
      <w:spacing w:line="437" w:lineRule="exact"/>
    </w:pPr>
  </w:style>
  <w:style w:type="paragraph" w:customStyle="1" w:styleId="Style2">
    <w:name w:val="Style2"/>
    <w:basedOn w:val="Normal"/>
    <w:uiPriority w:val="99"/>
    <w:pPr>
      <w:spacing w:line="437" w:lineRule="exact"/>
      <w:ind w:hanging="355"/>
    </w:pPr>
  </w:style>
  <w:style w:type="paragraph" w:customStyle="1" w:styleId="Style3">
    <w:name w:val="Style3"/>
    <w:basedOn w:val="Normal"/>
    <w:uiPriority w:val="99"/>
    <w:pPr>
      <w:spacing w:line="442" w:lineRule="exact"/>
      <w:jc w:val="both"/>
    </w:pPr>
  </w:style>
  <w:style w:type="paragraph" w:customStyle="1" w:styleId="Style4">
    <w:name w:val="Style4"/>
    <w:basedOn w:val="Normal"/>
    <w:uiPriority w:val="99"/>
    <w:pPr>
      <w:spacing w:line="451" w:lineRule="exact"/>
      <w:ind w:hanging="360"/>
    </w:pPr>
  </w:style>
  <w:style w:type="character" w:customStyle="1" w:styleId="FontStyle11">
    <w:name w:val="Font Style11"/>
    <w:basedOn w:val="Policepardfaut"/>
    <w:uiPriority w:val="99"/>
    <w:rPr>
      <w:rFonts w:ascii="Times New Roman" w:hAnsi="Times New Roman" w:cs="Times New Roman"/>
      <w:sz w:val="24"/>
      <w:szCs w:val="24"/>
      <w:lang w:bidi="ar-SA"/>
    </w:rPr>
  </w:style>
  <w:style w:type="character" w:styleId="Lienhypertexte">
    <w:name w:val="Hyperlink"/>
    <w:basedOn w:val="Policepardfaut"/>
    <w:uiPriority w:val="99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2016-10-27T11:55:00Z</dcterms:created>
  <dcterms:modified xsi:type="dcterms:W3CDTF">2016-10-27T11:59:00Z</dcterms:modified>
</cp:coreProperties>
</file>