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3426" w:rsidRDefault="005A3426" w:rsidP="005A3426">
      <w:r>
        <w:t>Notre étude contribue à la caractérisation de la population locale de lapin domestique Oryctolagus cuniculus tant sur le plan biochimique plasmatique que sur le plan de la reproduction. Il diffère du lapin européen par la réduction du taux de croissance et de fécondité, ces paramètres étant sous influence du biotope. Notre étude montre que le plasma de la lapine en gestation est essentiellement caractérisé par une hyperlipémie et une réduction de l'homocystéinémie. La mise au point de dosages radio-immunologiques hétérologues (avec 4 antisera) pour l'évaluation des glycoprotéines associées à la gestation ou PAGs a fait ressortir la sensibilité du système anti-ovin à la PAG de lapine.</w:t>
      </w:r>
    </w:p>
    <w:p w:rsidR="005A3426" w:rsidRDefault="005A3426" w:rsidP="005A3426">
      <w:r>
        <w:t>Nous  avons  traité  différentes  méthodes  de contrôle de la gestation, tels le dosage des PAGs</w:t>
      </w:r>
    </w:p>
    <w:p w:rsidR="005A3426" w:rsidRDefault="005A3426" w:rsidP="005A3426">
      <w:r>
        <w:t>placentaires,  l'évaluation  des  profils  circulants  de  MMP-2  et  MMP-9,  métalloprotéinases</w:t>
      </w:r>
    </w:p>
    <w:p w:rsidR="005A3426" w:rsidRDefault="005A3426" w:rsidP="005A3426">
      <w:r>
        <w:t>impliquées dans l'implantation, la nidation et la placentation, et le dosage radio-immunologique de l'oestradiol (E2) et la progestérone (P4). Nous pouvons avancer que l'évaluation des taux circulants des hormones stéroïdiennes E2 et P4 restent, pour ce modèle animal, la meilleure indication du diagnostic et du suivi de la gestation.</w:t>
      </w:r>
    </w:p>
    <w:p w:rsidR="005A3426" w:rsidRDefault="005A3426" w:rsidP="005A3426">
      <w:r>
        <w:t>L'administration d'excès de Met constitue une toxicité affectant aussi bien la biochimie plasmatique que la structure et la biochimie d'organes cibles (aorte, foie, rein). L'administration prolongée de Met (3 mois) montre la sensibilité du modèle au régime puisqu'il est enregistré outre l'hyperhomocystéinémie marquée, des altérations vasculaires de type athéroscléreux, avec une surproduction de collagènes, une dégradation des lames élastiques, la formation de néointima, un changement phénotypique des CML et une accumulation de lipides entre les lames élastiques de la média aortique.</w:t>
      </w:r>
    </w:p>
    <w:p w:rsidR="005A3426" w:rsidRDefault="005A3426" w:rsidP="005A3426">
      <w:r>
        <w:t>L'état gestationnel réduit significativement les altérations induites par l'excès de Met; il apparaît que les oestrogènes protègent les tissus des altérations induites par l'excès de Met.</w:t>
      </w:r>
    </w:p>
    <w:p w:rsidR="000E6A7C" w:rsidRDefault="000E6A7C"/>
    <w:sectPr w:rsidR="000E6A7C" w:rsidSect="000E6A7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A3426"/>
    <w:rsid w:val="000E6A7C"/>
    <w:rsid w:val="005A342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A7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308</Words>
  <Characters>1694</Characters>
  <Application>Microsoft Office Word</Application>
  <DocSecurity>0</DocSecurity>
  <Lines>14</Lines>
  <Paragraphs>3</Paragraphs>
  <ScaleCrop>false</ScaleCrop>
  <Company/>
  <LinksUpToDate>false</LinksUpToDate>
  <CharactersWithSpaces>1999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2015-01-12T09:13:00Z</dcterms:created>
  <dcterms:modified xsi:type="dcterms:W3CDTF">2015-01-12T09:14:00Z</dcterms:modified>
</cp:coreProperties>
</file>