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5424" w:rsidRDefault="008B7DF0" w:rsidP="001C1AA9">
      <w:pPr>
        <w:spacing w:line="240" w:lineRule="auto"/>
        <w:ind w:firstLine="709"/>
        <w:jc w:val="center"/>
        <w:rPr>
          <w:rFonts w:asciiTheme="majorBidi" w:eastAsia="Book Antiqua" w:hAnsiTheme="majorBidi" w:cstheme="majorBidi"/>
          <w:b/>
          <w:bCs/>
          <w:sz w:val="36"/>
          <w:szCs w:val="36"/>
        </w:rPr>
      </w:pPr>
      <w:r w:rsidRPr="008B7DF0">
        <w:rPr>
          <w:rFonts w:asciiTheme="majorBidi" w:eastAsia="Book Antiqua" w:hAnsiTheme="majorBidi" w:cstheme="majorBidi"/>
          <w:b/>
          <w:bCs/>
          <w:sz w:val="36"/>
          <w:szCs w:val="36"/>
        </w:rPr>
        <w:t xml:space="preserve">Résumé </w:t>
      </w:r>
    </w:p>
    <w:p w:rsidR="00476FE1" w:rsidRPr="00476FE1" w:rsidRDefault="009F200B" w:rsidP="006146EE">
      <w:pPr>
        <w:spacing w:line="240" w:lineRule="auto"/>
        <w:ind w:firstLine="709"/>
        <w:jc w:val="center"/>
        <w:rPr>
          <w:rFonts w:asciiTheme="majorBidi" w:hAnsiTheme="majorBidi" w:cstheme="majorBidi"/>
          <w:sz w:val="28"/>
          <w:szCs w:val="28"/>
        </w:rPr>
      </w:pPr>
      <w:r w:rsidRPr="00A85ABA">
        <w:rPr>
          <w:rFonts w:asciiTheme="majorBidi" w:hAnsiTheme="majorBidi" w:cstheme="majorBidi"/>
          <w:b/>
          <w:bCs/>
          <w:sz w:val="24"/>
          <w:szCs w:val="24"/>
        </w:rPr>
        <w:t>Elaboration de systèmes polymériques nanocomposites (PU/PANI, PU/NTC) et hybrides (PU/ PANI/Fe</w:t>
      </w:r>
      <w:r w:rsidRPr="00A85ABA">
        <w:rPr>
          <w:rFonts w:asciiTheme="majorBidi" w:hAnsiTheme="majorBidi" w:cstheme="majorBidi"/>
          <w:b/>
          <w:bCs/>
          <w:sz w:val="24"/>
          <w:szCs w:val="24"/>
          <w:vertAlign w:val="subscript"/>
        </w:rPr>
        <w:t>3</w:t>
      </w:r>
      <w:r w:rsidRPr="00A85ABA">
        <w:rPr>
          <w:rFonts w:asciiTheme="majorBidi" w:hAnsiTheme="majorBidi" w:cstheme="majorBidi"/>
          <w:b/>
          <w:bCs/>
          <w:sz w:val="24"/>
          <w:szCs w:val="24"/>
        </w:rPr>
        <w:t>O</w:t>
      </w:r>
      <w:r w:rsidRPr="00A85ABA">
        <w:rPr>
          <w:rFonts w:asciiTheme="majorBidi" w:hAnsiTheme="majorBidi" w:cstheme="majorBidi"/>
          <w:b/>
          <w:bCs/>
          <w:sz w:val="24"/>
          <w:szCs w:val="24"/>
          <w:vertAlign w:val="subscript"/>
        </w:rPr>
        <w:t>4</w:t>
      </w:r>
      <w:r w:rsidRPr="00A85ABA">
        <w:rPr>
          <w:rFonts w:asciiTheme="majorBidi" w:hAnsiTheme="majorBidi" w:cstheme="majorBidi"/>
          <w:b/>
          <w:bCs/>
          <w:sz w:val="24"/>
          <w:szCs w:val="24"/>
        </w:rPr>
        <w:t>, PU/NTC/Fe</w:t>
      </w:r>
      <w:r w:rsidRPr="00A85ABA">
        <w:rPr>
          <w:rFonts w:asciiTheme="majorBidi" w:hAnsiTheme="majorBidi" w:cstheme="majorBidi"/>
          <w:b/>
          <w:bCs/>
          <w:sz w:val="24"/>
          <w:szCs w:val="24"/>
          <w:vertAlign w:val="subscript"/>
        </w:rPr>
        <w:t>3</w:t>
      </w:r>
      <w:r w:rsidRPr="00A85ABA">
        <w:rPr>
          <w:rFonts w:asciiTheme="majorBidi" w:hAnsiTheme="majorBidi" w:cstheme="majorBidi"/>
          <w:b/>
          <w:bCs/>
          <w:sz w:val="24"/>
          <w:szCs w:val="24"/>
        </w:rPr>
        <w:t>O</w:t>
      </w:r>
      <w:r w:rsidRPr="00A85ABA">
        <w:rPr>
          <w:rFonts w:asciiTheme="majorBidi" w:hAnsiTheme="majorBidi" w:cstheme="majorBidi"/>
          <w:b/>
          <w:bCs/>
          <w:sz w:val="24"/>
          <w:szCs w:val="24"/>
          <w:vertAlign w:val="subscript"/>
        </w:rPr>
        <w:t>4</w:t>
      </w:r>
      <w:r>
        <w:rPr>
          <w:rFonts w:asciiTheme="majorBidi" w:hAnsiTheme="majorBidi" w:cstheme="majorBidi"/>
          <w:b/>
          <w:bCs/>
          <w:sz w:val="24"/>
          <w:szCs w:val="24"/>
        </w:rPr>
        <w:t xml:space="preserve">) : Etude de l’interaction </w:t>
      </w:r>
      <w:r w:rsidRPr="00A85ABA">
        <w:rPr>
          <w:rFonts w:asciiTheme="majorBidi" w:hAnsiTheme="majorBidi" w:cstheme="majorBidi"/>
          <w:b/>
          <w:bCs/>
          <w:sz w:val="24"/>
          <w:szCs w:val="24"/>
        </w:rPr>
        <w:t>onde-matière</w:t>
      </w:r>
      <w:r w:rsidR="001C1AA9">
        <w:rPr>
          <w:rFonts w:asciiTheme="majorBidi" w:hAnsiTheme="majorBidi" w:cstheme="majorBidi"/>
          <w:sz w:val="28"/>
          <w:szCs w:val="28"/>
          <w:vertAlign w:val="superscript"/>
        </w:rPr>
        <w:t>*</w:t>
      </w:r>
      <w:r w:rsidR="001C1AA9">
        <w:rPr>
          <w:rFonts w:asciiTheme="majorBidi" w:hAnsiTheme="majorBidi" w:cstheme="majorBidi"/>
          <w:sz w:val="28"/>
          <w:szCs w:val="28"/>
        </w:rPr>
        <w:t> </w:t>
      </w:r>
    </w:p>
    <w:p w:rsidR="00476FE1" w:rsidRPr="001C1AA9" w:rsidRDefault="00476FE1" w:rsidP="001C1AA9">
      <w:pPr>
        <w:spacing w:line="240" w:lineRule="auto"/>
        <w:ind w:firstLine="709"/>
        <w:jc w:val="center"/>
        <w:rPr>
          <w:rFonts w:asciiTheme="majorBidi" w:hAnsiTheme="majorBidi" w:cstheme="majorBidi"/>
          <w:sz w:val="28"/>
          <w:szCs w:val="28"/>
          <w:vertAlign w:val="superscript"/>
        </w:rPr>
      </w:pPr>
      <w:r w:rsidRPr="00476FE1">
        <w:rPr>
          <w:rFonts w:asciiTheme="majorBidi" w:hAnsiTheme="majorBidi" w:cstheme="majorBidi"/>
          <w:sz w:val="28"/>
          <w:szCs w:val="28"/>
        </w:rPr>
        <w:t>Mr. SAYHI Mostefa</w:t>
      </w:r>
      <w:r w:rsidR="001C1AA9">
        <w:rPr>
          <w:rFonts w:asciiTheme="majorBidi" w:hAnsiTheme="majorBidi" w:cstheme="majorBidi"/>
          <w:sz w:val="28"/>
          <w:szCs w:val="28"/>
          <w:vertAlign w:val="superscript"/>
        </w:rPr>
        <w:t>**</w:t>
      </w:r>
    </w:p>
    <w:p w:rsidR="00476FE1" w:rsidRPr="00476FE1" w:rsidRDefault="00476FE1" w:rsidP="001C1AA9">
      <w:pPr>
        <w:spacing w:line="240" w:lineRule="auto"/>
        <w:ind w:firstLine="709"/>
        <w:jc w:val="center"/>
        <w:rPr>
          <w:rFonts w:asciiTheme="majorBidi" w:eastAsia="Book Antiqua" w:hAnsiTheme="majorBidi" w:cstheme="majorBidi"/>
          <w:b/>
          <w:bCs/>
        </w:rPr>
      </w:pPr>
      <w:r w:rsidRPr="00476FE1">
        <w:rPr>
          <w:rFonts w:asciiTheme="majorBidi" w:hAnsiTheme="majorBidi" w:cstheme="majorBidi"/>
          <w:sz w:val="28"/>
          <w:szCs w:val="28"/>
        </w:rPr>
        <w:t>Laboratoire Physique des Matériaux, Faculté de physique USTHB</w:t>
      </w:r>
    </w:p>
    <w:p w:rsidR="00F96306" w:rsidRPr="001B5170" w:rsidRDefault="00F96306" w:rsidP="001C1AA9">
      <w:pPr>
        <w:spacing w:after="0"/>
        <w:ind w:firstLine="708"/>
        <w:jc w:val="both"/>
        <w:rPr>
          <w:rFonts w:asciiTheme="majorBidi" w:eastAsia="Book Antiqua" w:hAnsiTheme="majorBidi" w:cstheme="majorBidi"/>
          <w:sz w:val="24"/>
          <w:szCs w:val="24"/>
        </w:rPr>
      </w:pPr>
      <w:r w:rsidRPr="001B5170">
        <w:rPr>
          <w:rFonts w:asciiTheme="majorBidi" w:eastAsia="Book Antiqua" w:hAnsiTheme="majorBidi" w:cstheme="majorBidi"/>
          <w:sz w:val="24"/>
          <w:szCs w:val="24"/>
        </w:rPr>
        <w:t>La croissance accrue de l’utilisation des systèmes électroniques fonctionnant dans le domaine des micro-ondes à l’image des téléphones portables, des réseaux sans fil et des systèmes de télécommunications a provoqué une nouvelle forme de pollution connue sous le nom de pollution électromagnétique ou interférences électromagnétiques (EMI). Pour se prémunir contre les multiples risques de ces interférences, l’utilisation des matériaux composites pour le blindage électromagnétique, la décharge électrostatique ou l’absorption des ondes électromagnétiques est de plus en plus nécessaire.</w:t>
      </w:r>
    </w:p>
    <w:p w:rsidR="00231F35" w:rsidRPr="001B5170" w:rsidRDefault="00795298" w:rsidP="00CE3CB0">
      <w:pPr>
        <w:spacing w:after="0"/>
        <w:ind w:firstLine="708"/>
        <w:jc w:val="both"/>
        <w:rPr>
          <w:rFonts w:asciiTheme="majorBidi" w:eastAsia="Book Antiqua" w:hAnsiTheme="majorBidi" w:cstheme="majorBidi"/>
          <w:sz w:val="24"/>
          <w:szCs w:val="24"/>
        </w:rPr>
      </w:pPr>
      <w:r w:rsidRPr="001B5170">
        <w:rPr>
          <w:rFonts w:asciiTheme="majorBidi" w:eastAsia="Book Antiqua" w:hAnsiTheme="majorBidi" w:cstheme="majorBidi"/>
          <w:sz w:val="24"/>
          <w:szCs w:val="24"/>
        </w:rPr>
        <w:t>Dans ce cadre, n</w:t>
      </w:r>
      <w:r w:rsidR="00231F35" w:rsidRPr="001B5170">
        <w:rPr>
          <w:rFonts w:asciiTheme="majorBidi" w:eastAsia="Book Antiqua" w:hAnsiTheme="majorBidi" w:cstheme="majorBidi"/>
          <w:sz w:val="24"/>
          <w:szCs w:val="24"/>
        </w:rPr>
        <w:t xml:space="preserve">otre </w:t>
      </w:r>
      <w:r w:rsidR="00476FE1" w:rsidRPr="001B5170">
        <w:rPr>
          <w:rFonts w:asciiTheme="majorBidi" w:eastAsia="Book Antiqua" w:hAnsiTheme="majorBidi" w:cstheme="majorBidi"/>
          <w:sz w:val="24"/>
          <w:szCs w:val="24"/>
        </w:rPr>
        <w:t>étude</w:t>
      </w:r>
      <w:r w:rsidR="00231F35" w:rsidRPr="001B5170">
        <w:rPr>
          <w:rFonts w:asciiTheme="majorBidi" w:eastAsia="Book Antiqua" w:hAnsiTheme="majorBidi" w:cstheme="majorBidi"/>
          <w:sz w:val="24"/>
          <w:szCs w:val="24"/>
        </w:rPr>
        <w:t xml:space="preserve"> consiste à élaborer des </w:t>
      </w:r>
      <w:r w:rsidRPr="001B5170">
        <w:rPr>
          <w:rFonts w:asciiTheme="majorBidi" w:eastAsia="Book Antiqua" w:hAnsiTheme="majorBidi" w:cstheme="majorBidi"/>
          <w:sz w:val="24"/>
          <w:szCs w:val="24"/>
        </w:rPr>
        <w:t xml:space="preserve">matériaux </w:t>
      </w:r>
      <w:r w:rsidR="00231F35" w:rsidRPr="001B5170">
        <w:rPr>
          <w:rFonts w:asciiTheme="majorBidi" w:eastAsia="Book Antiqua" w:hAnsiTheme="majorBidi" w:cstheme="majorBidi"/>
          <w:sz w:val="24"/>
          <w:szCs w:val="24"/>
        </w:rPr>
        <w:t>composites, nanocomposites et hybrides</w:t>
      </w:r>
      <w:r w:rsidRPr="001B5170">
        <w:rPr>
          <w:rFonts w:asciiTheme="majorBidi" w:eastAsia="Book Antiqua" w:hAnsiTheme="majorBidi" w:cstheme="majorBidi"/>
          <w:sz w:val="24"/>
          <w:szCs w:val="24"/>
        </w:rPr>
        <w:t xml:space="preserve">, et </w:t>
      </w:r>
      <w:r w:rsidR="00231F35" w:rsidRPr="0056705C">
        <w:rPr>
          <w:rFonts w:asciiTheme="majorBidi" w:eastAsia="Book Antiqua" w:hAnsiTheme="majorBidi" w:cstheme="majorBidi"/>
          <w:sz w:val="24"/>
          <w:szCs w:val="24"/>
        </w:rPr>
        <w:t>d’étudie</w:t>
      </w:r>
      <w:r w:rsidR="008B7DF0" w:rsidRPr="0056705C">
        <w:rPr>
          <w:rFonts w:asciiTheme="majorBidi" w:eastAsia="Book Antiqua" w:hAnsiTheme="majorBidi" w:cstheme="majorBidi"/>
          <w:sz w:val="24"/>
          <w:szCs w:val="24"/>
        </w:rPr>
        <w:t>r</w:t>
      </w:r>
      <w:r w:rsidR="00231F35" w:rsidRPr="0056705C">
        <w:rPr>
          <w:rFonts w:asciiTheme="majorBidi" w:eastAsia="Book Antiqua" w:hAnsiTheme="majorBidi" w:cstheme="majorBidi"/>
          <w:sz w:val="24"/>
          <w:szCs w:val="24"/>
        </w:rPr>
        <w:t xml:space="preserve"> leurs comportements électromagnétiques dans le</w:t>
      </w:r>
      <w:r w:rsidR="00231F35" w:rsidRPr="001B5170">
        <w:rPr>
          <w:rFonts w:asciiTheme="majorBidi" w:eastAsia="Book Antiqua" w:hAnsiTheme="majorBidi" w:cstheme="majorBidi"/>
          <w:sz w:val="24"/>
          <w:szCs w:val="24"/>
        </w:rPr>
        <w:t xml:space="preserve"> domaine des micro-ondes. La matrice hôte étant </w:t>
      </w:r>
      <w:r w:rsidRPr="001B5170">
        <w:rPr>
          <w:rFonts w:asciiTheme="majorBidi" w:eastAsia="Book Antiqua" w:hAnsiTheme="majorBidi" w:cstheme="majorBidi"/>
          <w:sz w:val="24"/>
          <w:szCs w:val="24"/>
        </w:rPr>
        <w:t>du</w:t>
      </w:r>
      <w:r w:rsidR="00231F35" w:rsidRPr="001B5170">
        <w:rPr>
          <w:rFonts w:asciiTheme="majorBidi" w:eastAsia="Book Antiqua" w:hAnsiTheme="majorBidi" w:cstheme="majorBidi"/>
          <w:sz w:val="24"/>
          <w:szCs w:val="24"/>
        </w:rPr>
        <w:t xml:space="preserve"> polyuréthane</w:t>
      </w:r>
      <w:r w:rsidRPr="001B5170">
        <w:rPr>
          <w:rFonts w:asciiTheme="majorBidi" w:eastAsia="Book Antiqua" w:hAnsiTheme="majorBidi" w:cstheme="majorBidi"/>
          <w:sz w:val="24"/>
          <w:szCs w:val="24"/>
        </w:rPr>
        <w:t xml:space="preserve"> (PU)</w:t>
      </w:r>
      <w:r w:rsidR="001B5170" w:rsidRPr="001B5170">
        <w:rPr>
          <w:rFonts w:asciiTheme="majorBidi" w:eastAsia="Book Antiqua" w:hAnsiTheme="majorBidi" w:cstheme="majorBidi"/>
          <w:sz w:val="24"/>
          <w:szCs w:val="24"/>
        </w:rPr>
        <w:t xml:space="preserve"> et</w:t>
      </w:r>
      <w:r w:rsidRPr="001B5170">
        <w:rPr>
          <w:rFonts w:asciiTheme="majorBidi" w:eastAsia="Book Antiqua" w:hAnsiTheme="majorBidi" w:cstheme="majorBidi"/>
          <w:sz w:val="24"/>
          <w:szCs w:val="24"/>
        </w:rPr>
        <w:t>lesinclusions sont</w:t>
      </w:r>
      <w:r w:rsidR="00231F35" w:rsidRPr="001B5170">
        <w:rPr>
          <w:rFonts w:asciiTheme="majorBidi" w:eastAsia="Book Antiqua" w:hAnsiTheme="majorBidi" w:cstheme="majorBidi"/>
          <w:sz w:val="24"/>
          <w:szCs w:val="24"/>
        </w:rPr>
        <w:t xml:space="preserve"> à base</w:t>
      </w:r>
      <w:r w:rsidR="00D00D98" w:rsidRPr="001B5170">
        <w:rPr>
          <w:rFonts w:asciiTheme="majorBidi" w:eastAsia="Book Antiqua" w:hAnsiTheme="majorBidi" w:cstheme="majorBidi"/>
          <w:sz w:val="24"/>
          <w:szCs w:val="24"/>
        </w:rPr>
        <w:t xml:space="preserve"> de </w:t>
      </w:r>
      <w:r w:rsidR="00231F35" w:rsidRPr="001B5170">
        <w:rPr>
          <w:rFonts w:asciiTheme="majorBidi" w:eastAsia="Book Antiqua" w:hAnsiTheme="majorBidi" w:cstheme="majorBidi"/>
          <w:sz w:val="24"/>
          <w:szCs w:val="24"/>
        </w:rPr>
        <w:t xml:space="preserve"> polymère</w:t>
      </w:r>
      <w:r w:rsidRPr="001B5170">
        <w:rPr>
          <w:rFonts w:asciiTheme="majorBidi" w:eastAsia="Book Antiqua" w:hAnsiTheme="majorBidi" w:cstheme="majorBidi"/>
          <w:sz w:val="24"/>
          <w:szCs w:val="24"/>
        </w:rPr>
        <w:t xml:space="preserve"> conducteur</w:t>
      </w:r>
      <w:r w:rsidR="00231F35" w:rsidRPr="001B5170">
        <w:rPr>
          <w:rFonts w:asciiTheme="majorBidi" w:eastAsia="Book Antiqua" w:hAnsiTheme="majorBidi" w:cstheme="majorBidi"/>
          <w:sz w:val="24"/>
          <w:szCs w:val="24"/>
        </w:rPr>
        <w:t xml:space="preserve"> (</w:t>
      </w:r>
      <w:r w:rsidR="001B5170" w:rsidRPr="001B5170">
        <w:rPr>
          <w:rFonts w:asciiTheme="majorBidi" w:eastAsia="Book Antiqua" w:hAnsiTheme="majorBidi" w:cstheme="majorBidi"/>
          <w:sz w:val="24"/>
          <w:szCs w:val="24"/>
        </w:rPr>
        <w:t>PANI) ou</w:t>
      </w:r>
      <w:r w:rsidR="00231F35" w:rsidRPr="001B5170">
        <w:rPr>
          <w:rFonts w:asciiTheme="majorBidi" w:eastAsia="Book Antiqua" w:hAnsiTheme="majorBidi" w:cstheme="majorBidi"/>
          <w:sz w:val="24"/>
          <w:szCs w:val="24"/>
        </w:rPr>
        <w:t xml:space="preserve"> de  nanotube</w:t>
      </w:r>
      <w:r w:rsidR="008B7DF0" w:rsidRPr="001B5170">
        <w:rPr>
          <w:rFonts w:asciiTheme="majorBidi" w:eastAsia="Book Antiqua" w:hAnsiTheme="majorBidi" w:cstheme="majorBidi"/>
          <w:sz w:val="24"/>
          <w:szCs w:val="24"/>
        </w:rPr>
        <w:t>s</w:t>
      </w:r>
      <w:r w:rsidR="00231F35" w:rsidRPr="001B5170">
        <w:rPr>
          <w:rFonts w:asciiTheme="majorBidi" w:eastAsia="Book Antiqua" w:hAnsiTheme="majorBidi" w:cstheme="majorBidi"/>
          <w:sz w:val="24"/>
          <w:szCs w:val="24"/>
        </w:rPr>
        <w:t xml:space="preserve"> de carbone (NTC)</w:t>
      </w:r>
      <w:r w:rsidR="001B5170" w:rsidRPr="001B5170">
        <w:rPr>
          <w:rFonts w:asciiTheme="majorBidi" w:eastAsia="Book Antiqua" w:hAnsiTheme="majorBidi" w:cstheme="majorBidi"/>
          <w:sz w:val="24"/>
          <w:szCs w:val="24"/>
        </w:rPr>
        <w:t>.L</w:t>
      </w:r>
      <w:r w:rsidR="00231F35" w:rsidRPr="001B5170">
        <w:rPr>
          <w:rFonts w:asciiTheme="majorBidi" w:eastAsia="Book Antiqua" w:hAnsiTheme="majorBidi" w:cstheme="majorBidi"/>
          <w:sz w:val="24"/>
          <w:szCs w:val="24"/>
        </w:rPr>
        <w:t>es structures hybrides comport</w:t>
      </w:r>
      <w:r w:rsidR="001B5170" w:rsidRPr="001B5170">
        <w:rPr>
          <w:rFonts w:asciiTheme="majorBidi" w:eastAsia="Book Antiqua" w:hAnsiTheme="majorBidi" w:cstheme="majorBidi"/>
          <w:sz w:val="24"/>
          <w:szCs w:val="24"/>
        </w:rPr>
        <w:t>eront</w:t>
      </w:r>
      <w:r w:rsidR="00CE3CB0">
        <w:rPr>
          <w:rFonts w:asciiTheme="majorBidi" w:eastAsia="Book Antiqua" w:hAnsiTheme="majorBidi" w:cstheme="majorBidi"/>
          <w:sz w:val="24"/>
          <w:szCs w:val="24"/>
        </w:rPr>
        <w:t>, en plus,</w:t>
      </w:r>
      <w:r w:rsidR="00231F35" w:rsidRPr="001B5170">
        <w:rPr>
          <w:rFonts w:asciiTheme="majorBidi" w:eastAsia="Book Antiqua" w:hAnsiTheme="majorBidi" w:cstheme="majorBidi"/>
          <w:sz w:val="24"/>
          <w:szCs w:val="24"/>
        </w:rPr>
        <w:t>des charges magnétiques(Fe</w:t>
      </w:r>
      <w:r w:rsidR="00231F35" w:rsidRPr="001B5170">
        <w:rPr>
          <w:rFonts w:asciiTheme="majorBidi" w:eastAsia="Book Antiqua" w:hAnsiTheme="majorBidi" w:cstheme="majorBidi"/>
          <w:sz w:val="24"/>
          <w:szCs w:val="24"/>
          <w:vertAlign w:val="subscript"/>
        </w:rPr>
        <w:t>3</w:t>
      </w:r>
      <w:r w:rsidR="00231F35" w:rsidRPr="001B5170">
        <w:rPr>
          <w:rFonts w:asciiTheme="majorBidi" w:eastAsia="Book Antiqua" w:hAnsiTheme="majorBidi" w:cstheme="majorBidi"/>
          <w:sz w:val="24"/>
          <w:szCs w:val="24"/>
        </w:rPr>
        <w:t>O</w:t>
      </w:r>
      <w:r w:rsidR="00231F35" w:rsidRPr="001B5170">
        <w:rPr>
          <w:rFonts w:asciiTheme="majorBidi" w:eastAsia="Book Antiqua" w:hAnsiTheme="majorBidi" w:cstheme="majorBidi"/>
          <w:sz w:val="24"/>
          <w:szCs w:val="24"/>
          <w:vertAlign w:val="subscript"/>
        </w:rPr>
        <w:t>4</w:t>
      </w:r>
      <w:r w:rsidR="00231F35" w:rsidRPr="001B5170">
        <w:rPr>
          <w:rFonts w:asciiTheme="majorBidi" w:eastAsia="Book Antiqua" w:hAnsiTheme="majorBidi" w:cstheme="majorBidi"/>
          <w:sz w:val="24"/>
          <w:szCs w:val="24"/>
        </w:rPr>
        <w:t>).</w:t>
      </w:r>
    </w:p>
    <w:p w:rsidR="00231F35" w:rsidRPr="001B5170" w:rsidRDefault="00231F35" w:rsidP="001C1AA9">
      <w:pPr>
        <w:pStyle w:val="Newparagraph"/>
        <w:spacing w:line="276" w:lineRule="auto"/>
        <w:jc w:val="both"/>
        <w:rPr>
          <w:rFonts w:eastAsia="PMingLiU"/>
          <w:lang w:val="fr-FR"/>
        </w:rPr>
      </w:pPr>
      <w:r w:rsidRPr="001B5170">
        <w:rPr>
          <w:rFonts w:eastAsia="PMingLiU"/>
          <w:lang w:val="fr-FR"/>
        </w:rPr>
        <w:t xml:space="preserve">Dans la première partie, </w:t>
      </w:r>
      <w:r w:rsidR="00D00D98" w:rsidRPr="001B5170">
        <w:rPr>
          <w:rFonts w:eastAsia="PMingLiU"/>
          <w:lang w:val="fr-FR"/>
        </w:rPr>
        <w:t>on</w:t>
      </w:r>
      <w:r w:rsidR="001B5170" w:rsidRPr="001B5170">
        <w:rPr>
          <w:rFonts w:eastAsia="PMingLiU"/>
          <w:lang w:val="fr-FR"/>
        </w:rPr>
        <w:t>procédera aux</w:t>
      </w:r>
      <w:r w:rsidRPr="001B5170">
        <w:rPr>
          <w:rFonts w:eastAsia="PMingLiU"/>
          <w:lang w:val="fr-FR"/>
        </w:rPr>
        <w:t xml:space="preserve"> caractérisation</w:t>
      </w:r>
      <w:r w:rsidR="008E1BC1" w:rsidRPr="001B5170">
        <w:rPr>
          <w:rFonts w:eastAsia="PMingLiU"/>
          <w:lang w:val="fr-FR"/>
        </w:rPr>
        <w:t>s</w:t>
      </w:r>
      <w:r w:rsidRPr="001B5170">
        <w:rPr>
          <w:rFonts w:eastAsia="PMingLiU"/>
          <w:lang w:val="fr-FR"/>
        </w:rPr>
        <w:t xml:space="preserve"> morphologique, thermique, électrique et </w:t>
      </w:r>
      <w:r w:rsidR="008E1BC1" w:rsidRPr="001B5170">
        <w:rPr>
          <w:rFonts w:eastAsia="PMingLiU"/>
          <w:lang w:val="fr-FR"/>
        </w:rPr>
        <w:t>électromagnétique</w:t>
      </w:r>
      <w:r w:rsidRPr="001B5170">
        <w:rPr>
          <w:rFonts w:eastAsia="PMingLiU"/>
          <w:lang w:val="fr-FR"/>
        </w:rPr>
        <w:t xml:space="preserve"> des composites PU/PANI. </w:t>
      </w:r>
      <w:r w:rsidR="008E1BC1" w:rsidRPr="001B5170">
        <w:rPr>
          <w:rFonts w:eastAsia="PMingLiU"/>
          <w:lang w:val="fr-FR"/>
        </w:rPr>
        <w:t>Cette dernière a été effectuée en utilisant la technique de</w:t>
      </w:r>
      <w:r w:rsidRPr="001B5170">
        <w:rPr>
          <w:rFonts w:eastAsia="PMingLiU"/>
          <w:lang w:val="fr-FR"/>
        </w:rPr>
        <w:t xml:space="preserve"> la sonde à effet de </w:t>
      </w:r>
      <w:r w:rsidR="00EB25DC" w:rsidRPr="001B5170">
        <w:rPr>
          <w:rFonts w:eastAsia="PMingLiU"/>
          <w:lang w:val="fr-FR"/>
        </w:rPr>
        <w:t xml:space="preserve">bout </w:t>
      </w:r>
      <w:r w:rsidR="00D00D98" w:rsidRPr="001B5170">
        <w:rPr>
          <w:rFonts w:eastAsia="PMingLiU"/>
          <w:lang w:val="fr-FR"/>
        </w:rPr>
        <w:t>en</w:t>
      </w:r>
      <w:r w:rsidR="00EB25DC" w:rsidRPr="001B5170">
        <w:rPr>
          <w:rFonts w:eastAsia="PMingLiU"/>
          <w:lang w:val="fr-FR"/>
        </w:rPr>
        <w:t xml:space="preserve"> bande </w:t>
      </w:r>
      <w:r w:rsidR="00EB25DC" w:rsidRPr="001B5170">
        <w:rPr>
          <w:rFonts w:eastAsia="PMingLiU"/>
          <w:b/>
          <w:bCs/>
          <w:lang w:val="fr-FR"/>
        </w:rPr>
        <w:t>S</w:t>
      </w:r>
      <w:r w:rsidR="001B5170" w:rsidRPr="001B5170">
        <w:rPr>
          <w:rFonts w:asciiTheme="majorBidi" w:hAnsiTheme="majorBidi" w:cstheme="majorBidi"/>
          <w:spacing w:val="4"/>
          <w:lang w:val="fr-FR"/>
        </w:rPr>
        <w:t xml:space="preserve">(3-5 GHz) </w:t>
      </w:r>
      <w:r w:rsidR="00EB25DC" w:rsidRPr="001B5170">
        <w:rPr>
          <w:rFonts w:eastAsia="PMingLiU"/>
          <w:lang w:val="fr-FR"/>
        </w:rPr>
        <w:t xml:space="preserve">et la technique des guides d’ondes </w:t>
      </w:r>
      <w:r w:rsidR="00D00D98" w:rsidRPr="001B5170">
        <w:rPr>
          <w:rFonts w:eastAsia="PMingLiU"/>
          <w:lang w:val="fr-FR"/>
        </w:rPr>
        <w:t>en</w:t>
      </w:r>
      <w:r w:rsidR="00EB25DC" w:rsidRPr="001B5170">
        <w:rPr>
          <w:rFonts w:eastAsia="PMingLiU"/>
          <w:lang w:val="fr-FR"/>
        </w:rPr>
        <w:t xml:space="preserve"> bande </w:t>
      </w:r>
      <w:r w:rsidR="00EB25DC" w:rsidRPr="001B5170">
        <w:rPr>
          <w:rFonts w:eastAsia="PMingLiU"/>
          <w:b/>
          <w:bCs/>
          <w:lang w:val="fr-FR"/>
        </w:rPr>
        <w:t>X</w:t>
      </w:r>
      <w:r w:rsidR="001B5170" w:rsidRPr="001B5170">
        <w:rPr>
          <w:rFonts w:asciiTheme="majorBidi" w:hAnsiTheme="majorBidi" w:cstheme="majorBidi"/>
          <w:spacing w:val="4"/>
          <w:lang w:val="fr-FR"/>
        </w:rPr>
        <w:t>(8,2 – 12,4 GHz)</w:t>
      </w:r>
      <w:r w:rsidR="00EB25DC" w:rsidRPr="001B5170">
        <w:rPr>
          <w:rFonts w:eastAsia="PMingLiU"/>
          <w:lang w:val="fr-FR"/>
        </w:rPr>
        <w:t xml:space="preserve">. </w:t>
      </w:r>
    </w:p>
    <w:p w:rsidR="00231F35" w:rsidRPr="001B5170" w:rsidRDefault="00EB25DC" w:rsidP="001C1AA9">
      <w:pPr>
        <w:pStyle w:val="Newparagraph"/>
        <w:spacing w:line="276" w:lineRule="auto"/>
        <w:jc w:val="both"/>
        <w:rPr>
          <w:rFonts w:eastAsia="PMingLiU"/>
          <w:lang w:val="fr-FR"/>
        </w:rPr>
      </w:pPr>
      <w:r w:rsidRPr="001B5170">
        <w:rPr>
          <w:rFonts w:asciiTheme="majorBidi" w:hAnsiTheme="majorBidi" w:cstheme="majorBidi"/>
          <w:spacing w:val="4"/>
          <w:lang w:val="fr-FR"/>
        </w:rPr>
        <w:t>L’analyse thermogravimétrique a mis</w:t>
      </w:r>
      <w:r w:rsidR="00231F35" w:rsidRPr="001B5170">
        <w:rPr>
          <w:rFonts w:asciiTheme="majorBidi" w:hAnsiTheme="majorBidi" w:cstheme="majorBidi"/>
          <w:spacing w:val="4"/>
          <w:lang w:val="fr-FR"/>
        </w:rPr>
        <w:t xml:space="preserve"> en évidence une amélioration de la stabilité thermique des composites grâce à l’incorporation des charges PANI dans la matrice PU. </w:t>
      </w:r>
      <w:r w:rsidRPr="001B5170">
        <w:rPr>
          <w:rFonts w:asciiTheme="majorBidi" w:hAnsiTheme="majorBidi" w:cstheme="majorBidi"/>
          <w:spacing w:val="4"/>
          <w:lang w:val="fr-FR"/>
        </w:rPr>
        <w:t xml:space="preserve">L’étude de la conductivité dynamique a révélé un </w:t>
      </w:r>
      <w:r w:rsidR="00231F35" w:rsidRPr="001B5170">
        <w:rPr>
          <w:rFonts w:asciiTheme="majorBidi" w:hAnsiTheme="majorBidi" w:cstheme="majorBidi"/>
          <w:spacing w:val="4"/>
          <w:lang w:val="fr-FR"/>
        </w:rPr>
        <w:t xml:space="preserve">seuil de percolation </w:t>
      </w:r>
      <w:r w:rsidRPr="001B5170">
        <w:rPr>
          <w:rFonts w:asciiTheme="majorBidi" w:hAnsiTheme="majorBidi" w:cstheme="majorBidi"/>
          <w:spacing w:val="4"/>
          <w:lang w:val="fr-FR"/>
        </w:rPr>
        <w:t xml:space="preserve">de </w:t>
      </w:r>
      <w:r w:rsidR="00231F35" w:rsidRPr="001B5170">
        <w:rPr>
          <w:rFonts w:asciiTheme="majorBidi" w:hAnsiTheme="majorBidi" w:cstheme="majorBidi"/>
          <w:spacing w:val="4"/>
          <w:lang w:val="fr-FR"/>
        </w:rPr>
        <w:t xml:space="preserve">2.5% </w:t>
      </w:r>
      <w:r w:rsidRPr="001B5170">
        <w:rPr>
          <w:rFonts w:asciiTheme="majorBidi" w:hAnsiTheme="majorBidi" w:cstheme="majorBidi"/>
          <w:spacing w:val="4"/>
          <w:lang w:val="fr-FR"/>
        </w:rPr>
        <w:t xml:space="preserve">de </w:t>
      </w:r>
      <w:r w:rsidR="00231F35" w:rsidRPr="001B5170">
        <w:rPr>
          <w:rFonts w:asciiTheme="majorBidi" w:hAnsiTheme="majorBidi" w:cstheme="majorBidi"/>
          <w:spacing w:val="4"/>
          <w:lang w:val="fr-FR"/>
        </w:rPr>
        <w:t>PANI</w:t>
      </w:r>
      <w:r w:rsidRPr="001B5170">
        <w:rPr>
          <w:rFonts w:asciiTheme="majorBidi" w:hAnsiTheme="majorBidi" w:cstheme="majorBidi"/>
          <w:spacing w:val="4"/>
          <w:lang w:val="fr-FR"/>
        </w:rPr>
        <w:t xml:space="preserve">. </w:t>
      </w:r>
      <w:r w:rsidR="003D58BB" w:rsidRPr="001B5170">
        <w:rPr>
          <w:rFonts w:asciiTheme="majorBidi" w:hAnsiTheme="majorBidi" w:cstheme="majorBidi"/>
          <w:spacing w:val="4"/>
          <w:lang w:val="fr-FR"/>
        </w:rPr>
        <w:t>L</w:t>
      </w:r>
      <w:r w:rsidR="003D58BB" w:rsidRPr="001B5170">
        <w:rPr>
          <w:rFonts w:asciiTheme="majorBidi" w:eastAsia="Book Antiqua" w:hAnsiTheme="majorBidi" w:cstheme="majorBidi"/>
          <w:lang w:val="fr-FR"/>
        </w:rPr>
        <w:t xml:space="preserve">es propriétés électromagnétiques des composites (PU/PANI) </w:t>
      </w:r>
      <w:r w:rsidRPr="001B5170">
        <w:rPr>
          <w:rFonts w:asciiTheme="majorBidi" w:hAnsiTheme="majorBidi" w:cstheme="majorBidi"/>
          <w:spacing w:val="4"/>
          <w:lang w:val="fr-FR"/>
        </w:rPr>
        <w:t>en bande</w:t>
      </w:r>
      <w:r w:rsidR="004C2207" w:rsidRPr="001B5170">
        <w:rPr>
          <w:rFonts w:asciiTheme="majorBidi" w:hAnsiTheme="majorBidi" w:cstheme="majorBidi"/>
          <w:spacing w:val="4"/>
          <w:lang w:val="fr-FR"/>
        </w:rPr>
        <w:t>s</w:t>
      </w:r>
      <w:r w:rsidRPr="001B5170">
        <w:rPr>
          <w:rFonts w:asciiTheme="majorBidi" w:hAnsiTheme="majorBidi" w:cstheme="majorBidi"/>
          <w:spacing w:val="4"/>
          <w:lang w:val="fr-FR"/>
        </w:rPr>
        <w:t xml:space="preserve"> S et X</w:t>
      </w:r>
      <w:r w:rsidR="008B7DF0" w:rsidRPr="001B5170">
        <w:rPr>
          <w:rFonts w:asciiTheme="majorBidi" w:hAnsiTheme="majorBidi" w:cstheme="majorBidi"/>
          <w:spacing w:val="4"/>
          <w:lang w:val="fr-FR"/>
        </w:rPr>
        <w:t>varient</w:t>
      </w:r>
      <w:r w:rsidR="004C2207" w:rsidRPr="001B5170">
        <w:rPr>
          <w:rFonts w:asciiTheme="majorBidi" w:hAnsiTheme="majorBidi" w:cstheme="majorBidi"/>
          <w:spacing w:val="4"/>
          <w:lang w:val="fr-FR"/>
        </w:rPr>
        <w:t xml:space="preserve"> avec la concentration de la PANI dans la matrice PU.</w:t>
      </w:r>
    </w:p>
    <w:p w:rsidR="00366439" w:rsidRPr="001B5170" w:rsidRDefault="004C2207" w:rsidP="001C1AA9">
      <w:pPr>
        <w:spacing w:after="0"/>
        <w:ind w:firstLine="708"/>
        <w:jc w:val="both"/>
        <w:rPr>
          <w:rFonts w:asciiTheme="majorBidi" w:eastAsia="Times New Roman" w:hAnsiTheme="majorBidi" w:cstheme="majorBidi"/>
          <w:sz w:val="24"/>
          <w:szCs w:val="24"/>
        </w:rPr>
      </w:pPr>
      <w:r w:rsidRPr="001B5170">
        <w:rPr>
          <w:rFonts w:asciiTheme="majorBidi" w:eastAsia="PMingLiU" w:hAnsiTheme="majorBidi" w:cstheme="majorBidi"/>
          <w:sz w:val="24"/>
          <w:szCs w:val="24"/>
        </w:rPr>
        <w:t>Dans la seconde partie</w:t>
      </w:r>
      <w:r w:rsidR="00231F35" w:rsidRPr="001B5170">
        <w:rPr>
          <w:rFonts w:asciiTheme="majorBidi" w:eastAsia="PMingLiU" w:hAnsiTheme="majorBidi" w:cstheme="majorBidi"/>
          <w:sz w:val="24"/>
          <w:szCs w:val="24"/>
        </w:rPr>
        <w:t xml:space="preserve">, </w:t>
      </w:r>
      <w:r w:rsidR="001B5170" w:rsidRPr="001B5170">
        <w:rPr>
          <w:rFonts w:asciiTheme="majorBidi" w:eastAsia="PMingLiU" w:hAnsiTheme="majorBidi" w:cstheme="majorBidi"/>
          <w:sz w:val="24"/>
          <w:szCs w:val="24"/>
        </w:rPr>
        <w:t xml:space="preserve">on procédera à </w:t>
      </w:r>
      <w:r w:rsidR="00231F35" w:rsidRPr="001B5170">
        <w:rPr>
          <w:rFonts w:asciiTheme="majorBidi" w:eastAsia="PMingLiU" w:hAnsiTheme="majorBidi" w:cstheme="majorBidi"/>
          <w:sz w:val="24"/>
          <w:szCs w:val="24"/>
        </w:rPr>
        <w:t>la caractérisationélectromagnétique des nanocomposites PU/NTC</w:t>
      </w:r>
      <w:r w:rsidRPr="001B5170">
        <w:rPr>
          <w:rFonts w:asciiTheme="majorBidi" w:eastAsia="PMingLiU" w:hAnsiTheme="majorBidi" w:cstheme="majorBidi"/>
          <w:sz w:val="24"/>
          <w:szCs w:val="24"/>
        </w:rPr>
        <w:t xml:space="preserve"> et des hybrides PU/PANI/Fe</w:t>
      </w:r>
      <w:r w:rsidRPr="001B5170">
        <w:rPr>
          <w:rFonts w:asciiTheme="majorBidi" w:eastAsia="PMingLiU" w:hAnsiTheme="majorBidi" w:cstheme="majorBidi"/>
          <w:sz w:val="24"/>
          <w:szCs w:val="24"/>
          <w:vertAlign w:val="subscript"/>
        </w:rPr>
        <w:t>3</w:t>
      </w:r>
      <w:r w:rsidRPr="001B5170">
        <w:rPr>
          <w:rFonts w:asciiTheme="majorBidi" w:eastAsia="PMingLiU" w:hAnsiTheme="majorBidi" w:cstheme="majorBidi"/>
          <w:sz w:val="24"/>
          <w:szCs w:val="24"/>
        </w:rPr>
        <w:t>O</w:t>
      </w:r>
      <w:r w:rsidRPr="001B5170">
        <w:rPr>
          <w:rFonts w:asciiTheme="majorBidi" w:eastAsia="PMingLiU" w:hAnsiTheme="majorBidi" w:cstheme="majorBidi"/>
          <w:sz w:val="24"/>
          <w:szCs w:val="24"/>
          <w:vertAlign w:val="subscript"/>
        </w:rPr>
        <w:t>4</w:t>
      </w:r>
      <w:r w:rsidRPr="001B5170">
        <w:rPr>
          <w:rFonts w:asciiTheme="majorBidi" w:eastAsia="PMingLiU" w:hAnsiTheme="majorBidi" w:cstheme="majorBidi"/>
          <w:sz w:val="24"/>
          <w:szCs w:val="24"/>
        </w:rPr>
        <w:t xml:space="preserve"> et PU/NTC/Fe</w:t>
      </w:r>
      <w:r w:rsidRPr="001B5170">
        <w:rPr>
          <w:rFonts w:asciiTheme="majorBidi" w:eastAsia="PMingLiU" w:hAnsiTheme="majorBidi" w:cstheme="majorBidi"/>
          <w:sz w:val="24"/>
          <w:szCs w:val="24"/>
          <w:vertAlign w:val="subscript"/>
        </w:rPr>
        <w:t>3</w:t>
      </w:r>
      <w:r w:rsidRPr="001B5170">
        <w:rPr>
          <w:rFonts w:asciiTheme="majorBidi" w:eastAsia="PMingLiU" w:hAnsiTheme="majorBidi" w:cstheme="majorBidi"/>
          <w:sz w:val="24"/>
          <w:szCs w:val="24"/>
        </w:rPr>
        <w:t>O</w:t>
      </w:r>
      <w:r w:rsidRPr="001B5170">
        <w:rPr>
          <w:rFonts w:asciiTheme="majorBidi" w:eastAsia="PMingLiU" w:hAnsiTheme="majorBidi" w:cstheme="majorBidi"/>
          <w:sz w:val="24"/>
          <w:szCs w:val="24"/>
          <w:vertAlign w:val="subscript"/>
        </w:rPr>
        <w:t>4</w:t>
      </w:r>
      <w:r w:rsidR="00366439" w:rsidRPr="001B5170">
        <w:rPr>
          <w:rFonts w:asciiTheme="majorBidi" w:eastAsia="PMingLiU" w:hAnsiTheme="majorBidi" w:cstheme="majorBidi"/>
          <w:sz w:val="24"/>
          <w:szCs w:val="24"/>
        </w:rPr>
        <w:t>dans le domaine fréquentiel de la bande X</w:t>
      </w:r>
      <w:r w:rsidR="00231F35" w:rsidRPr="001B5170">
        <w:rPr>
          <w:rFonts w:asciiTheme="majorBidi" w:eastAsia="PMingLiU" w:hAnsiTheme="majorBidi" w:cstheme="majorBidi"/>
          <w:sz w:val="24"/>
          <w:szCs w:val="24"/>
        </w:rPr>
        <w:t>.</w:t>
      </w:r>
    </w:p>
    <w:p w:rsidR="00231F35" w:rsidRPr="001B5170" w:rsidRDefault="00D00D98" w:rsidP="001C1AA9">
      <w:pPr>
        <w:spacing w:after="0"/>
        <w:ind w:firstLine="708"/>
        <w:jc w:val="both"/>
        <w:rPr>
          <w:rFonts w:asciiTheme="majorBidi" w:eastAsia="Book Antiqua" w:hAnsiTheme="majorBidi" w:cstheme="majorBidi"/>
          <w:sz w:val="24"/>
          <w:szCs w:val="24"/>
        </w:rPr>
      </w:pPr>
      <w:r w:rsidRPr="001B5170">
        <w:rPr>
          <w:rFonts w:asciiTheme="majorBidi" w:eastAsia="Book Antiqua" w:hAnsiTheme="majorBidi" w:cstheme="majorBidi"/>
          <w:sz w:val="24"/>
          <w:szCs w:val="24"/>
        </w:rPr>
        <w:t>L’incorporation des charges magnétiques dans la matrice PU, en présence de la PANI ou des NTC, a considérablement amélioré</w:t>
      </w:r>
      <w:r w:rsidR="002B1878">
        <w:rPr>
          <w:rFonts w:asciiTheme="majorBidi" w:eastAsia="Book Antiqua" w:hAnsiTheme="majorBidi" w:cstheme="majorBidi"/>
          <w:sz w:val="24"/>
          <w:szCs w:val="24"/>
        </w:rPr>
        <w:t>e</w:t>
      </w:r>
      <w:r w:rsidRPr="001B5170">
        <w:rPr>
          <w:rFonts w:asciiTheme="majorBidi" w:eastAsia="Book Antiqua" w:hAnsiTheme="majorBidi" w:cstheme="majorBidi"/>
          <w:sz w:val="24"/>
          <w:szCs w:val="24"/>
        </w:rPr>
        <w:t xml:space="preserve"> les capacités d’absorption. En effet, c</w:t>
      </w:r>
      <w:r w:rsidR="00366439" w:rsidRPr="001B5170">
        <w:rPr>
          <w:rFonts w:asciiTheme="majorBidi" w:eastAsia="Book Antiqua" w:hAnsiTheme="majorBidi" w:cstheme="majorBidi"/>
          <w:sz w:val="24"/>
          <w:szCs w:val="24"/>
        </w:rPr>
        <w:t>e</w:t>
      </w:r>
      <w:r w:rsidRPr="001B5170">
        <w:rPr>
          <w:rFonts w:asciiTheme="majorBidi" w:eastAsia="Book Antiqua" w:hAnsiTheme="majorBidi" w:cstheme="majorBidi"/>
          <w:sz w:val="24"/>
          <w:szCs w:val="24"/>
        </w:rPr>
        <w:t>rtains</w:t>
      </w:r>
      <w:r w:rsidR="00366439" w:rsidRPr="001B5170">
        <w:rPr>
          <w:rFonts w:asciiTheme="majorBidi" w:eastAsia="Book Antiqua" w:hAnsiTheme="majorBidi" w:cstheme="majorBidi"/>
          <w:sz w:val="24"/>
          <w:szCs w:val="24"/>
        </w:rPr>
        <w:t xml:space="preserve"> niveaux d’absorption </w:t>
      </w:r>
      <w:r w:rsidRPr="001B5170">
        <w:rPr>
          <w:rFonts w:asciiTheme="majorBidi" w:eastAsia="Book Antiqua" w:hAnsiTheme="majorBidi" w:cstheme="majorBidi"/>
          <w:sz w:val="24"/>
          <w:szCs w:val="24"/>
        </w:rPr>
        <w:t xml:space="preserve">de ces composites hybrides, </w:t>
      </w:r>
      <w:r w:rsidR="00366439" w:rsidRPr="001B5170">
        <w:rPr>
          <w:rFonts w:asciiTheme="majorBidi" w:eastAsia="Book Antiqua" w:hAnsiTheme="majorBidi" w:cstheme="majorBidi"/>
          <w:sz w:val="24"/>
          <w:szCs w:val="24"/>
        </w:rPr>
        <w:t xml:space="preserve">dépassent les 99% de l’énergie incidente </w:t>
      </w:r>
      <w:r w:rsidR="00231F35" w:rsidRPr="001B5170">
        <w:rPr>
          <w:rFonts w:asciiTheme="majorBidi" w:eastAsia="Book Antiqua" w:hAnsiTheme="majorBidi" w:cstheme="majorBidi"/>
          <w:sz w:val="24"/>
          <w:szCs w:val="24"/>
        </w:rPr>
        <w:t xml:space="preserve">avec une largeur de bande moyenne de près de 3GHz. </w:t>
      </w:r>
    </w:p>
    <w:p w:rsidR="00D00D98" w:rsidRDefault="001B5170" w:rsidP="00CE3CB0">
      <w:pPr>
        <w:spacing w:after="0"/>
        <w:ind w:firstLine="708"/>
        <w:jc w:val="both"/>
        <w:rPr>
          <w:rFonts w:asciiTheme="majorBidi" w:eastAsia="Book Antiqua" w:hAnsiTheme="majorBidi" w:cstheme="majorBidi"/>
          <w:sz w:val="24"/>
          <w:szCs w:val="24"/>
        </w:rPr>
      </w:pPr>
      <w:r w:rsidRPr="001B5170">
        <w:rPr>
          <w:rFonts w:asciiTheme="majorBidi" w:eastAsia="Book Antiqua" w:hAnsiTheme="majorBidi" w:cstheme="majorBidi"/>
          <w:sz w:val="24"/>
          <w:szCs w:val="24"/>
        </w:rPr>
        <w:t xml:space="preserve">Les résultats obtenus font de ces matériaux étudiés de bons candidats pour les applications du blindage électromagnétique, </w:t>
      </w:r>
      <w:r w:rsidR="00CE3CB0">
        <w:rPr>
          <w:rFonts w:asciiTheme="majorBidi" w:eastAsia="Book Antiqua" w:hAnsiTheme="majorBidi" w:cstheme="majorBidi"/>
          <w:sz w:val="24"/>
          <w:szCs w:val="24"/>
        </w:rPr>
        <w:t>de</w:t>
      </w:r>
      <w:r w:rsidRPr="001B5170">
        <w:rPr>
          <w:rFonts w:asciiTheme="majorBidi" w:eastAsia="Book Antiqua" w:hAnsiTheme="majorBidi" w:cstheme="majorBidi"/>
          <w:sz w:val="24"/>
          <w:szCs w:val="24"/>
        </w:rPr>
        <w:t xml:space="preserve"> décharge électrostatique ou </w:t>
      </w:r>
      <w:r w:rsidR="00CE3CB0">
        <w:rPr>
          <w:rFonts w:asciiTheme="majorBidi" w:eastAsia="Book Antiqua" w:hAnsiTheme="majorBidi" w:cstheme="majorBidi"/>
          <w:sz w:val="24"/>
          <w:szCs w:val="24"/>
        </w:rPr>
        <w:t>d</w:t>
      </w:r>
      <w:r w:rsidRPr="001B5170">
        <w:rPr>
          <w:rFonts w:asciiTheme="majorBidi" w:eastAsia="Book Antiqua" w:hAnsiTheme="majorBidi" w:cstheme="majorBidi"/>
          <w:sz w:val="24"/>
          <w:szCs w:val="24"/>
        </w:rPr>
        <w:t>’absorption des ondes électromagnétiques.</w:t>
      </w:r>
    </w:p>
    <w:p w:rsidR="001C1AA9" w:rsidRDefault="001C1AA9" w:rsidP="001C1AA9">
      <w:pPr>
        <w:spacing w:after="0"/>
        <w:ind w:firstLine="708"/>
        <w:jc w:val="both"/>
        <w:rPr>
          <w:rFonts w:asciiTheme="majorBidi" w:eastAsia="Book Antiqua" w:hAnsiTheme="majorBidi" w:cstheme="majorBidi"/>
          <w:sz w:val="24"/>
          <w:szCs w:val="24"/>
        </w:rPr>
      </w:pPr>
    </w:p>
    <w:p w:rsidR="001C1AA9" w:rsidRDefault="001C1AA9" w:rsidP="001C1AA9">
      <w:pPr>
        <w:tabs>
          <w:tab w:val="left" w:pos="851"/>
        </w:tabs>
        <w:spacing w:after="0"/>
        <w:jc w:val="both"/>
        <w:rPr>
          <w:rFonts w:asciiTheme="majorBidi" w:eastAsia="Book Antiqua" w:hAnsiTheme="majorBidi" w:cstheme="majorBidi"/>
          <w:sz w:val="24"/>
          <w:szCs w:val="24"/>
        </w:rPr>
      </w:pPr>
    </w:p>
    <w:p w:rsidR="001C1AA9" w:rsidRPr="001C1AA9" w:rsidRDefault="001C1AA9" w:rsidP="00DB6C62">
      <w:pPr>
        <w:pStyle w:val="Paragraphedeliste"/>
        <w:tabs>
          <w:tab w:val="left" w:pos="851"/>
        </w:tabs>
        <w:spacing w:after="0"/>
        <w:ind w:left="0"/>
        <w:jc w:val="both"/>
        <w:rPr>
          <w:rFonts w:asciiTheme="majorBidi" w:eastAsia="Book Antiqua" w:hAnsiTheme="majorBidi" w:cstheme="majorBidi"/>
          <w:sz w:val="24"/>
          <w:szCs w:val="24"/>
        </w:rPr>
      </w:pPr>
      <w:bookmarkStart w:id="0" w:name="_GoBack"/>
      <w:bookmarkEnd w:id="0"/>
    </w:p>
    <w:p w:rsidR="001C1AA9" w:rsidRPr="001C1AA9" w:rsidRDefault="001C1AA9" w:rsidP="001C1AA9">
      <w:pPr>
        <w:pStyle w:val="Paragraphedeliste"/>
        <w:tabs>
          <w:tab w:val="left" w:pos="851"/>
        </w:tabs>
        <w:spacing w:after="0"/>
        <w:ind w:left="0"/>
        <w:jc w:val="both"/>
        <w:rPr>
          <w:rFonts w:asciiTheme="majorBidi" w:eastAsia="Book Antiqua" w:hAnsiTheme="majorBidi" w:cstheme="majorBidi"/>
          <w:sz w:val="24"/>
          <w:szCs w:val="24"/>
        </w:rPr>
      </w:pPr>
    </w:p>
    <w:sectPr w:rsidR="001C1AA9" w:rsidRPr="001C1AA9" w:rsidSect="001C1AA9">
      <w:pgSz w:w="11906" w:h="16838"/>
      <w:pgMar w:top="851" w:right="1417" w:bottom="993"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auto"/>
    <w:notTrueType/>
    <w:pitch w:val="variable"/>
    <w:sig w:usb0="00000001" w:usb1="08080000" w:usb2="00000010" w:usb3="00000000" w:csb0="001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6D603C"/>
    <w:multiLevelType w:val="hybridMultilevel"/>
    <w:tmpl w:val="C4FA3434"/>
    <w:lvl w:ilvl="0" w:tplc="0EB0B296">
      <w:start w:val="3"/>
      <w:numFmt w:val="bullet"/>
      <w:lvlText w:val=""/>
      <w:lvlJc w:val="left"/>
      <w:pPr>
        <w:ind w:left="720" w:hanging="360"/>
      </w:pPr>
      <w:rPr>
        <w:rFonts w:ascii="Symbol" w:eastAsia="Book Antiqua"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231F35"/>
    <w:rsid w:val="00053FC4"/>
    <w:rsid w:val="00076BA0"/>
    <w:rsid w:val="00093D9B"/>
    <w:rsid w:val="000E340B"/>
    <w:rsid w:val="001917C8"/>
    <w:rsid w:val="00191EEA"/>
    <w:rsid w:val="00195424"/>
    <w:rsid w:val="001B5170"/>
    <w:rsid w:val="001C1AA9"/>
    <w:rsid w:val="001E7105"/>
    <w:rsid w:val="00231F35"/>
    <w:rsid w:val="0027348A"/>
    <w:rsid w:val="002B1878"/>
    <w:rsid w:val="002D1936"/>
    <w:rsid w:val="002E375D"/>
    <w:rsid w:val="002F0752"/>
    <w:rsid w:val="00341F02"/>
    <w:rsid w:val="00364C44"/>
    <w:rsid w:val="00366439"/>
    <w:rsid w:val="003C2565"/>
    <w:rsid w:val="003C3E7F"/>
    <w:rsid w:val="003D58BB"/>
    <w:rsid w:val="0046471B"/>
    <w:rsid w:val="00476FE1"/>
    <w:rsid w:val="004C2207"/>
    <w:rsid w:val="00503D51"/>
    <w:rsid w:val="005401EB"/>
    <w:rsid w:val="0056705C"/>
    <w:rsid w:val="00595424"/>
    <w:rsid w:val="006146EE"/>
    <w:rsid w:val="00632590"/>
    <w:rsid w:val="00635B5F"/>
    <w:rsid w:val="00643124"/>
    <w:rsid w:val="00727904"/>
    <w:rsid w:val="007626ED"/>
    <w:rsid w:val="00786C2B"/>
    <w:rsid w:val="00795298"/>
    <w:rsid w:val="00824F49"/>
    <w:rsid w:val="00844E12"/>
    <w:rsid w:val="00857192"/>
    <w:rsid w:val="008B7DF0"/>
    <w:rsid w:val="008C6831"/>
    <w:rsid w:val="008D61A8"/>
    <w:rsid w:val="008E1BC1"/>
    <w:rsid w:val="00930A85"/>
    <w:rsid w:val="00987AEB"/>
    <w:rsid w:val="00991EE4"/>
    <w:rsid w:val="009F200B"/>
    <w:rsid w:val="00B150F6"/>
    <w:rsid w:val="00B3035A"/>
    <w:rsid w:val="00B34160"/>
    <w:rsid w:val="00B916FA"/>
    <w:rsid w:val="00BA54FC"/>
    <w:rsid w:val="00C37A9E"/>
    <w:rsid w:val="00C73EA0"/>
    <w:rsid w:val="00CA4B4F"/>
    <w:rsid w:val="00CB47C5"/>
    <w:rsid w:val="00CE3CB0"/>
    <w:rsid w:val="00D00D98"/>
    <w:rsid w:val="00D9580C"/>
    <w:rsid w:val="00DB6C62"/>
    <w:rsid w:val="00E745D7"/>
    <w:rsid w:val="00EB25DC"/>
    <w:rsid w:val="00EF681C"/>
    <w:rsid w:val="00F25DAA"/>
    <w:rsid w:val="00F359BE"/>
    <w:rsid w:val="00F61244"/>
    <w:rsid w:val="00F96306"/>
    <w:rsid w:val="00FB365A"/>
    <w:rsid w:val="00FB7FBD"/>
    <w:rsid w:val="00FF2CE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59B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ewparagraph">
    <w:name w:val="New paragraph"/>
    <w:basedOn w:val="Normal"/>
    <w:qFormat/>
    <w:rsid w:val="00231F35"/>
    <w:pPr>
      <w:spacing w:after="0" w:line="480" w:lineRule="auto"/>
      <w:ind w:firstLine="720"/>
    </w:pPr>
    <w:rPr>
      <w:rFonts w:ascii="Times New Roman" w:eastAsia="Times New Roman" w:hAnsi="Times New Roman" w:cs="Times New Roman"/>
      <w:sz w:val="24"/>
      <w:szCs w:val="24"/>
      <w:lang w:val="en-GB" w:eastAsia="en-GB"/>
    </w:rPr>
  </w:style>
  <w:style w:type="paragraph" w:styleId="Paragraphedeliste">
    <w:name w:val="List Paragraph"/>
    <w:basedOn w:val="Normal"/>
    <w:uiPriority w:val="34"/>
    <w:qFormat/>
    <w:rsid w:val="001C1AA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ewparagraph">
    <w:name w:val="New paragraph"/>
    <w:basedOn w:val="Normal"/>
    <w:qFormat/>
    <w:rsid w:val="00231F35"/>
    <w:pPr>
      <w:spacing w:after="0" w:line="480" w:lineRule="auto"/>
      <w:ind w:firstLine="720"/>
    </w:pPr>
    <w:rPr>
      <w:rFonts w:ascii="Times New Roman" w:eastAsia="Times New Roman" w:hAnsi="Times New Roman" w:cs="Times New Roman"/>
      <w:sz w:val="24"/>
      <w:szCs w:val="24"/>
      <w:lang w:val="en-GB" w:eastAsia="en-GB"/>
    </w:rPr>
  </w:style>
  <w:style w:type="paragraph" w:styleId="Paragraphedeliste">
    <w:name w:val="List Paragraph"/>
    <w:basedOn w:val="Normal"/>
    <w:uiPriority w:val="34"/>
    <w:qFormat/>
    <w:rsid w:val="001C1AA9"/>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393</Words>
  <Characters>2241</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2629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jujitsu</dc:creator>
  <cp:lastModifiedBy>traitement</cp:lastModifiedBy>
  <cp:revision>4</cp:revision>
  <dcterms:created xsi:type="dcterms:W3CDTF">2016-06-12T00:04:00Z</dcterms:created>
  <dcterms:modified xsi:type="dcterms:W3CDTF">2016-11-23T11:54:00Z</dcterms:modified>
</cp:coreProperties>
</file>