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1D2C" w:rsidRPr="00991934" w:rsidRDefault="00991934" w:rsidP="00A20886">
      <w:pPr>
        <w:pStyle w:val="Titre1"/>
        <w:spacing w:before="120" w:line="276" w:lineRule="auto"/>
        <w:jc w:val="both"/>
        <w:rPr>
          <w:rFonts w:ascii="Book Antiqua" w:hAnsi="Book Antiqua"/>
          <w:sz w:val="40"/>
          <w:szCs w:val="40"/>
        </w:rPr>
      </w:pPr>
      <w:r>
        <w:rPr>
          <w:rFonts w:ascii="Book Antiqua" w:hAnsi="Book Antiqua"/>
          <w:sz w:val="22"/>
          <w:szCs w:val="22"/>
        </w:rPr>
        <w:t xml:space="preserve">                                                                      </w:t>
      </w:r>
      <w:r w:rsidR="000F1D2C" w:rsidRPr="00991934">
        <w:rPr>
          <w:rFonts w:ascii="Book Antiqua" w:hAnsi="Book Antiqua"/>
          <w:sz w:val="40"/>
          <w:szCs w:val="40"/>
        </w:rPr>
        <w:t>Résumé</w:t>
      </w:r>
    </w:p>
    <w:p w:rsidR="00621E53" w:rsidRPr="000F1D2C" w:rsidRDefault="00621E53" w:rsidP="00A20886">
      <w:pPr>
        <w:pStyle w:val="Titre1"/>
        <w:spacing w:before="120" w:line="276" w:lineRule="auto"/>
        <w:jc w:val="both"/>
        <w:rPr>
          <w:rFonts w:ascii="Book Antiqua" w:hAnsi="Book Antiqua"/>
          <w:i/>
          <w:sz w:val="22"/>
          <w:szCs w:val="22"/>
        </w:rPr>
      </w:pPr>
    </w:p>
    <w:p w:rsidR="000F1D2C" w:rsidRPr="000F1D2C" w:rsidRDefault="000F1D2C" w:rsidP="00A20886">
      <w:pPr>
        <w:jc w:val="both"/>
        <w:rPr>
          <w:rFonts w:ascii="Book Antiqua" w:hAnsi="Book Antiqua" w:cs="Times New Roman"/>
        </w:rPr>
      </w:pPr>
      <w:r w:rsidRPr="000F1D2C">
        <w:rPr>
          <w:rFonts w:ascii="Book Antiqua" w:hAnsi="Book Antiqua" w:cs="Times New Roman"/>
        </w:rPr>
        <w:t xml:space="preserve">Les données acquises par les  radars à synthèse d’ouverture </w:t>
      </w:r>
      <w:proofErr w:type="spellStart"/>
      <w:r w:rsidRPr="000F1D2C">
        <w:rPr>
          <w:rFonts w:ascii="Book Antiqua" w:hAnsi="Book Antiqua" w:cs="Times New Roman"/>
        </w:rPr>
        <w:t>polarimétriques</w:t>
      </w:r>
      <w:proofErr w:type="spellEnd"/>
      <w:r w:rsidRPr="000F1D2C">
        <w:rPr>
          <w:rFonts w:ascii="Book Antiqua" w:hAnsi="Book Antiqua" w:cs="Times New Roman"/>
        </w:rPr>
        <w:t xml:space="preserve"> (POLSAR)  ne dépendent pas  seulement des propriétés de la scène imagée, mais aussi des propriétés de l’onde rétrodiffusée. Plusieurs paramètres peuvent être estimés à partir de l’analyse des données </w:t>
      </w:r>
      <w:proofErr w:type="spellStart"/>
      <w:r w:rsidRPr="000F1D2C">
        <w:rPr>
          <w:rFonts w:ascii="Book Antiqua" w:hAnsi="Book Antiqua" w:cs="Times New Roman"/>
        </w:rPr>
        <w:t>PolSAR</w:t>
      </w:r>
      <w:proofErr w:type="spellEnd"/>
      <w:r w:rsidRPr="000F1D2C">
        <w:rPr>
          <w:rFonts w:ascii="Book Antiqua" w:hAnsi="Book Antiqua" w:cs="Times New Roman"/>
        </w:rPr>
        <w:t xml:space="preserve">. Parmi ces paramètres nous citons   l’angle d’orientation (OA). Cet angle caractérise l’état de polarisation d’une onde électromagnétique(EM). Les variations de la pente en direction azimutale induisent un changement dans l’angle d’orientation de l’onde rétrodiffusée  qui  affecte l’état de polarisation de l’onde EM. Pour pouvoir exploiter les données POLSAR dans les méthodes de décompositions </w:t>
      </w:r>
      <w:proofErr w:type="spellStart"/>
      <w:r w:rsidRPr="000F1D2C">
        <w:rPr>
          <w:rFonts w:ascii="Book Antiqua" w:hAnsi="Book Antiqua" w:cs="Times New Roman"/>
        </w:rPr>
        <w:t>polarimétriques</w:t>
      </w:r>
      <w:proofErr w:type="spellEnd"/>
      <w:r w:rsidRPr="000F1D2C">
        <w:rPr>
          <w:rFonts w:ascii="Book Antiqua" w:hAnsi="Book Antiqua" w:cs="Times New Roman"/>
        </w:rPr>
        <w:t xml:space="preserve"> et l'extraction des paramètres géophysiques, l’effet de la pente en azimut doit être corrigé.</w:t>
      </w:r>
    </w:p>
    <w:p w:rsidR="000F1D2C" w:rsidRPr="000F1D2C" w:rsidRDefault="000F1D2C" w:rsidP="00A20886">
      <w:pPr>
        <w:jc w:val="both"/>
        <w:rPr>
          <w:rFonts w:ascii="Book Antiqua" w:hAnsi="Book Antiqua" w:cs="Times New Roman"/>
        </w:rPr>
      </w:pPr>
      <w:r w:rsidRPr="000F1D2C">
        <w:rPr>
          <w:rFonts w:ascii="Book Antiqua" w:hAnsi="Book Antiqua" w:cs="Times New Roman"/>
        </w:rPr>
        <w:t xml:space="preserve">Au cours du présent travail de recherche, nous nous sommes intéressés à l’estimation de l’angle d’orientation et ces différentes  applications dans l’analyse des données POLSAR.  Pour cela nous avons implémenté  trois estimateurs qui  sont dérivés à partir  de la matrice  de polarisation circulaire. Une étude comparative est réalisée pour déterminer  lequel des  trois estimateurs a  donné un meilleur résultat. Ce dernier  est effectué en comparant les histogrammes  de chaque orientation ainsi que les images orientations par rapport à l’entropie et à l’angle alpha calculés à partir de la décomposition de </w:t>
      </w:r>
      <w:proofErr w:type="spellStart"/>
      <w:r w:rsidRPr="000F1D2C">
        <w:rPr>
          <w:rFonts w:ascii="Book Antiqua" w:hAnsi="Book Antiqua" w:cs="Times New Roman"/>
        </w:rPr>
        <w:t>Cloude</w:t>
      </w:r>
      <w:proofErr w:type="spellEnd"/>
      <w:r w:rsidRPr="000F1D2C">
        <w:rPr>
          <w:rFonts w:ascii="Book Antiqua" w:hAnsi="Book Antiqua" w:cs="Times New Roman"/>
        </w:rPr>
        <w:t xml:space="preserve"> / Pottier. L’algorithme de polarisation circulaire a donné un meilleur résultat par  rapport aux deux autres estimateurs parce que ce dernier est lié seulement aux  pentes du terrain, et il n’est pas affecté par les caractéristiques de diffusion du milieu ni par l’effet de dépolarisation.</w:t>
      </w:r>
    </w:p>
    <w:p w:rsidR="000F1D2C" w:rsidRDefault="000F1D2C" w:rsidP="00A20886">
      <w:pPr>
        <w:pStyle w:val="Paragraphedeliste"/>
        <w:ind w:left="0"/>
        <w:jc w:val="both"/>
        <w:rPr>
          <w:rFonts w:ascii="Book Antiqua" w:hAnsi="Book Antiqua" w:cs="Times New Roman"/>
        </w:rPr>
      </w:pPr>
      <w:r w:rsidRPr="000F1D2C">
        <w:rPr>
          <w:rFonts w:ascii="Book Antiqua" w:hAnsi="Book Antiqua" w:cs="Times New Roman"/>
        </w:rPr>
        <w:t xml:space="preserve">Par la suite nous avons utilisé  l’orientation estimée par l’algorithme de polarisation circulaire  pour analyser les différentes applications  de cet angle. Nous avons étudié  la compensation des données et son effet  sur les éléments de la matrice de cohérence, et sur la décomposition </w:t>
      </w:r>
      <w:proofErr w:type="spellStart"/>
      <w:r w:rsidRPr="000F1D2C">
        <w:rPr>
          <w:rFonts w:ascii="Book Antiqua" w:hAnsi="Book Antiqua" w:cs="Times New Roman"/>
        </w:rPr>
        <w:t>polarimétrique</w:t>
      </w:r>
      <w:proofErr w:type="spellEnd"/>
      <w:r w:rsidRPr="000F1D2C">
        <w:rPr>
          <w:rFonts w:ascii="Book Antiqua" w:hAnsi="Book Antiqua" w:cs="Times New Roman"/>
        </w:rPr>
        <w:t xml:space="preserve"> de </w:t>
      </w:r>
      <w:proofErr w:type="spellStart"/>
      <w:r w:rsidRPr="000F1D2C">
        <w:rPr>
          <w:rFonts w:ascii="Book Antiqua" w:hAnsi="Book Antiqua" w:cs="Times New Roman"/>
        </w:rPr>
        <w:t>Krogager</w:t>
      </w:r>
      <w:proofErr w:type="spellEnd"/>
      <w:r w:rsidRPr="000F1D2C">
        <w:rPr>
          <w:rFonts w:ascii="Book Antiqua" w:hAnsi="Book Antiqua" w:cs="Times New Roman"/>
        </w:rPr>
        <w:t xml:space="preserve"> et Yamaguchi.  Après compensation la puissance de diffusion en double rebond  augmente, la puissance de diffusion volumique  diminue, et la puissance en hélix reste invariante.  La validation des résultats  de la compensation est effectuée en utilisant  les profils et le pourcentage des puissances  avant et après compensation. Nous avons analysé l’orientation dans les zones urbaines et leur relation avec l’angle de rotation de la structure urbaine.  En outre, l’angle d’orientation nous a servi à générer le model numérique du terrain (MNT) par l’utilisation d’une seule acquisition </w:t>
      </w:r>
      <w:proofErr w:type="spellStart"/>
      <w:r w:rsidRPr="000F1D2C">
        <w:rPr>
          <w:rFonts w:ascii="Book Antiqua" w:hAnsi="Book Antiqua" w:cs="Times New Roman"/>
        </w:rPr>
        <w:t>polarimétrique</w:t>
      </w:r>
      <w:proofErr w:type="spellEnd"/>
      <w:r w:rsidRPr="000F1D2C">
        <w:rPr>
          <w:rFonts w:ascii="Book Antiqua" w:hAnsi="Book Antiqua" w:cs="Times New Roman"/>
        </w:rPr>
        <w:t>. Cette méthode combine l’orientation estimée et la technique de forme d’ombrage (Shape-</w:t>
      </w:r>
      <w:proofErr w:type="spellStart"/>
      <w:r w:rsidRPr="000F1D2C">
        <w:rPr>
          <w:rFonts w:ascii="Book Antiqua" w:hAnsi="Book Antiqua" w:cs="Times New Roman"/>
        </w:rPr>
        <w:t>From</w:t>
      </w:r>
      <w:proofErr w:type="spellEnd"/>
      <w:r w:rsidRPr="000F1D2C">
        <w:rPr>
          <w:rFonts w:ascii="Book Antiqua" w:hAnsi="Book Antiqua" w:cs="Times New Roman"/>
        </w:rPr>
        <w:t xml:space="preserve"> </w:t>
      </w:r>
      <w:proofErr w:type="spellStart"/>
      <w:r w:rsidRPr="000F1D2C">
        <w:rPr>
          <w:rFonts w:ascii="Book Antiqua" w:hAnsi="Book Antiqua" w:cs="Times New Roman"/>
        </w:rPr>
        <w:t>shaping</w:t>
      </w:r>
      <w:proofErr w:type="spellEnd"/>
      <w:r w:rsidRPr="000F1D2C">
        <w:rPr>
          <w:rFonts w:ascii="Book Antiqua" w:hAnsi="Book Antiqua" w:cs="Times New Roman"/>
        </w:rPr>
        <w:t xml:space="preserve"> technique) pour calculer les pentes du terrain. Les estimateurs et les méthodes que nous avons développés ont été testés sur deux images totalement </w:t>
      </w:r>
      <w:proofErr w:type="spellStart"/>
      <w:r w:rsidRPr="000F1D2C">
        <w:rPr>
          <w:rFonts w:ascii="Book Antiqua" w:hAnsi="Book Antiqua" w:cs="Times New Roman"/>
        </w:rPr>
        <w:t>polarimétriques</w:t>
      </w:r>
      <w:proofErr w:type="spellEnd"/>
      <w:r w:rsidRPr="000F1D2C">
        <w:rPr>
          <w:rFonts w:ascii="Book Antiqua" w:hAnsi="Book Antiqua" w:cs="Times New Roman"/>
        </w:rPr>
        <w:t xml:space="preserve">, la première acquise par le satellite RADARSAT-2 sur la zone d’Alger et Blida, Algérie, et la deuxième acquise par le satellite aéroporté Pi-SAR sur le zone du Nigata au Japon. Les résultats sont satisfaisants sur le plan de décomposition </w:t>
      </w:r>
      <w:proofErr w:type="spellStart"/>
      <w:r w:rsidRPr="000F1D2C">
        <w:rPr>
          <w:rFonts w:ascii="Book Antiqua" w:hAnsi="Book Antiqua" w:cs="Times New Roman"/>
        </w:rPr>
        <w:t>polarimétrique</w:t>
      </w:r>
      <w:proofErr w:type="spellEnd"/>
      <w:r w:rsidRPr="000F1D2C">
        <w:rPr>
          <w:rFonts w:ascii="Book Antiqua" w:hAnsi="Book Antiqua" w:cs="Times New Roman"/>
        </w:rPr>
        <w:t xml:space="preserve"> testé par la méthode de Yamaguchi. Des améliorations restent à apporter quant à la génération du MNT.</w:t>
      </w:r>
    </w:p>
    <w:p w:rsidR="00996F22" w:rsidRDefault="00996F22" w:rsidP="00A20886">
      <w:pPr>
        <w:pStyle w:val="Paragraphedeliste"/>
        <w:ind w:left="0"/>
        <w:jc w:val="both"/>
        <w:rPr>
          <w:rFonts w:ascii="Book Antiqua" w:hAnsi="Book Antiqua" w:cs="Times New Roman"/>
        </w:rPr>
      </w:pPr>
    </w:p>
    <w:p w:rsidR="00996F22" w:rsidRPr="00996F22" w:rsidRDefault="00996F22" w:rsidP="00A20886">
      <w:pPr>
        <w:pStyle w:val="Paragraphedeliste"/>
        <w:ind w:left="0"/>
        <w:jc w:val="both"/>
        <w:rPr>
          <w:rFonts w:ascii="Book Antiqua" w:hAnsi="Book Antiqua" w:cs="Times New Roman"/>
          <w:b/>
        </w:rPr>
      </w:pPr>
      <w:r w:rsidRPr="00996F22">
        <w:rPr>
          <w:rFonts w:ascii="Book Antiqua" w:hAnsi="Book Antiqua" w:cs="Times New Roman"/>
          <w:b/>
        </w:rPr>
        <w:lastRenderedPageBreak/>
        <w:t>Mot</w:t>
      </w:r>
      <w:r w:rsidR="00E3510B">
        <w:rPr>
          <w:rFonts w:ascii="Book Antiqua" w:hAnsi="Book Antiqua" w:cs="Times New Roman"/>
          <w:b/>
        </w:rPr>
        <w:t>s</w:t>
      </w:r>
      <w:r w:rsidRPr="00996F22">
        <w:rPr>
          <w:rFonts w:ascii="Book Antiqua" w:hAnsi="Book Antiqua" w:cs="Times New Roman"/>
          <w:b/>
        </w:rPr>
        <w:t xml:space="preserve"> clés :</w:t>
      </w:r>
      <w:r w:rsidRPr="00996F22">
        <w:rPr>
          <w:rFonts w:ascii="Book Antiqua" w:hAnsi="Book Antiqua" w:cs="Times New Roman"/>
        </w:rPr>
        <w:t xml:space="preserve"> </w:t>
      </w:r>
      <w:r w:rsidRPr="00996F22">
        <w:rPr>
          <w:rFonts w:ascii="Book Antiqua" w:hAnsi="Book Antiqua" w:cs="Times New Roman"/>
          <w:b/>
        </w:rPr>
        <w:t xml:space="preserve">radars à synthèse d’ouverture </w:t>
      </w:r>
      <w:proofErr w:type="spellStart"/>
      <w:r w:rsidRPr="00996F22">
        <w:rPr>
          <w:rFonts w:ascii="Book Antiqua" w:hAnsi="Book Antiqua" w:cs="Times New Roman"/>
          <w:b/>
        </w:rPr>
        <w:t>polarimétriques</w:t>
      </w:r>
      <w:proofErr w:type="spellEnd"/>
      <w:r w:rsidRPr="00996F22">
        <w:rPr>
          <w:rFonts w:ascii="Book Antiqua" w:hAnsi="Book Antiqua" w:cs="Times New Roman"/>
          <w:b/>
        </w:rPr>
        <w:t xml:space="preserve"> (POLSAR), angle d’orientation (OA),  une onde électromagnétique(EM), model numérique du terrain (MNT)</w:t>
      </w:r>
      <w:r>
        <w:rPr>
          <w:rFonts w:ascii="Book Antiqua" w:hAnsi="Book Antiqua" w:cs="Times New Roman"/>
          <w:b/>
        </w:rPr>
        <w:t>.</w:t>
      </w:r>
    </w:p>
    <w:p w:rsidR="000F1D2C" w:rsidRPr="000F1D2C" w:rsidRDefault="000F1D2C" w:rsidP="00A20886">
      <w:pPr>
        <w:jc w:val="both"/>
        <w:rPr>
          <w:rFonts w:ascii="Book Antiqua" w:hAnsi="Book Antiqua"/>
        </w:rPr>
      </w:pPr>
    </w:p>
    <w:sectPr w:rsidR="000F1D2C" w:rsidRPr="000F1D2C" w:rsidSect="00E153E4">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1011" w:rsidRDefault="00EE1011" w:rsidP="00257F29">
      <w:pPr>
        <w:spacing w:after="0" w:line="240" w:lineRule="auto"/>
      </w:pPr>
      <w:r>
        <w:separator/>
      </w:r>
    </w:p>
  </w:endnote>
  <w:endnote w:type="continuationSeparator" w:id="1">
    <w:p w:rsidR="00EE1011" w:rsidRDefault="00EE1011" w:rsidP="00257F2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1011" w:rsidRDefault="00EE1011" w:rsidP="00257F29">
      <w:pPr>
        <w:spacing w:after="0" w:line="240" w:lineRule="auto"/>
      </w:pPr>
      <w:r>
        <w:separator/>
      </w:r>
    </w:p>
  </w:footnote>
  <w:footnote w:type="continuationSeparator" w:id="1">
    <w:p w:rsidR="00EE1011" w:rsidRDefault="00EE1011" w:rsidP="00257F29">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rsids>
    <w:rsidRoot w:val="000F1D2C"/>
    <w:rsid w:val="000F1D2C"/>
    <w:rsid w:val="00177F16"/>
    <w:rsid w:val="002352C6"/>
    <w:rsid w:val="00257F29"/>
    <w:rsid w:val="0038471A"/>
    <w:rsid w:val="0042345D"/>
    <w:rsid w:val="00621E53"/>
    <w:rsid w:val="0078676B"/>
    <w:rsid w:val="008F1188"/>
    <w:rsid w:val="00991934"/>
    <w:rsid w:val="00996F22"/>
    <w:rsid w:val="00A20886"/>
    <w:rsid w:val="00A674A4"/>
    <w:rsid w:val="00AA251F"/>
    <w:rsid w:val="00C4295E"/>
    <w:rsid w:val="00E153E4"/>
    <w:rsid w:val="00E3510B"/>
    <w:rsid w:val="00E663FE"/>
    <w:rsid w:val="00EA7D97"/>
    <w:rsid w:val="00EE1011"/>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1D2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F1D2C"/>
    <w:pPr>
      <w:ind w:left="720"/>
      <w:contextualSpacing/>
    </w:pPr>
  </w:style>
  <w:style w:type="paragraph" w:customStyle="1" w:styleId="Titre1">
    <w:name w:val="Titre1"/>
    <w:basedOn w:val="Normal"/>
    <w:rsid w:val="000F1D2C"/>
    <w:pPr>
      <w:autoSpaceDE w:val="0"/>
      <w:autoSpaceDN w:val="0"/>
      <w:adjustRightInd w:val="0"/>
      <w:spacing w:after="0" w:line="360" w:lineRule="auto"/>
    </w:pPr>
    <w:rPr>
      <w:rFonts w:ascii="Times New Roman" w:eastAsia="MS Mincho" w:hAnsi="Times New Roman" w:cs="Times New Roman"/>
      <w:b/>
      <w:bCs/>
      <w:sz w:val="32"/>
      <w:szCs w:val="32"/>
      <w:lang w:eastAsia="ko-KR"/>
    </w:rPr>
  </w:style>
  <w:style w:type="paragraph" w:styleId="En-tte">
    <w:name w:val="header"/>
    <w:basedOn w:val="Normal"/>
    <w:link w:val="En-tteCar"/>
    <w:uiPriority w:val="99"/>
    <w:unhideWhenUsed/>
    <w:rsid w:val="00257F29"/>
    <w:pPr>
      <w:tabs>
        <w:tab w:val="center" w:pos="4536"/>
        <w:tab w:val="right" w:pos="9072"/>
      </w:tabs>
      <w:spacing w:after="0" w:line="240" w:lineRule="auto"/>
    </w:pPr>
  </w:style>
  <w:style w:type="character" w:customStyle="1" w:styleId="En-tteCar">
    <w:name w:val="En-tête Car"/>
    <w:basedOn w:val="Policepardfaut"/>
    <w:link w:val="En-tte"/>
    <w:uiPriority w:val="99"/>
    <w:rsid w:val="00257F29"/>
  </w:style>
  <w:style w:type="paragraph" w:styleId="Pieddepage">
    <w:name w:val="footer"/>
    <w:basedOn w:val="Normal"/>
    <w:link w:val="PieddepageCar"/>
    <w:uiPriority w:val="99"/>
    <w:unhideWhenUsed/>
    <w:rsid w:val="00257F2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7F29"/>
  </w:style>
  <w:style w:type="paragraph" w:styleId="Textedebulles">
    <w:name w:val="Balloon Text"/>
    <w:basedOn w:val="Normal"/>
    <w:link w:val="TextedebullesCar"/>
    <w:uiPriority w:val="99"/>
    <w:semiHidden/>
    <w:unhideWhenUsed/>
    <w:rsid w:val="00257F2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7F29"/>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2</Pages>
  <Words>534</Words>
  <Characters>2942</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Résumé</vt:lpstr>
    </vt:vector>
  </TitlesOfParts>
  <Company/>
  <LinksUpToDate>false</LinksUpToDate>
  <CharactersWithSpaces>3470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Résumé</dc:title>
  <dc:creator>LENOVO</dc:creator>
  <cp:lastModifiedBy>LENOVO</cp:lastModifiedBy>
  <cp:revision>8</cp:revision>
  <dcterms:created xsi:type="dcterms:W3CDTF">2014-11-20T16:22:00Z</dcterms:created>
  <dcterms:modified xsi:type="dcterms:W3CDTF">2015-02-03T11:19:00Z</dcterms:modified>
</cp:coreProperties>
</file>