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A53" w:rsidRDefault="00897A53">
      <w:pPr>
        <w:pStyle w:val="Style5"/>
        <w:widowControl/>
        <w:spacing w:line="240" w:lineRule="exact"/>
        <w:rPr>
          <w:sz w:val="20"/>
          <w:szCs w:val="20"/>
        </w:rPr>
      </w:pPr>
    </w:p>
    <w:p w:rsidR="00897A53" w:rsidRPr="00EF0CD4" w:rsidRDefault="00285E9A" w:rsidP="00EF0CD4">
      <w:pPr>
        <w:pStyle w:val="Style5"/>
        <w:widowControl/>
        <w:spacing w:before="192" w:line="360" w:lineRule="auto"/>
        <w:rPr>
          <w:rStyle w:val="FontStyle12"/>
          <w:rFonts w:asciiTheme="majorBidi" w:hAnsiTheme="majorBidi" w:cstheme="majorBidi"/>
          <w:lang w:val="fr-FR" w:eastAsia="fr-FR"/>
        </w:rPr>
      </w:pPr>
      <w:r w:rsidRPr="00EF0CD4">
        <w:rPr>
          <w:rStyle w:val="FontStyle12"/>
          <w:rFonts w:asciiTheme="majorBidi" w:hAnsiTheme="majorBidi" w:cstheme="majorBidi"/>
          <w:lang w:val="fr-FR" w:eastAsia="fr-FR"/>
        </w:rPr>
        <w:t>Dans le cadre de ce travail, nous nous sommes intéressés en premier lieu à l'étude du comportement du PPO lorsqu'il est mélangé au copolymère de type styrène-co-acrylate du 2-hydroxyethyle de différentes compositions en comonomères (SHEA-3, SHEA-9, SHEA-12 et SHEA-16 contenant 3, 9, 12 et 16 % en moles de HEA) et styrène-co- N,N-dimethylacrylamide de différentes compositions en comonomères (SAD-17 et SAD-32 contenant 17 et 32 % en moles de AD), afin d'établir les limites de miscibilité de ces paires de polymère, puis à l'effet du PPO dans les ternaires PPO/SHEA/SAD.</w:t>
      </w:r>
    </w:p>
    <w:p w:rsidR="00897A53" w:rsidRPr="00EF0CD4" w:rsidRDefault="00897A53" w:rsidP="00EF0CD4">
      <w:pPr>
        <w:pStyle w:val="Style4"/>
        <w:widowControl/>
        <w:spacing w:line="360" w:lineRule="auto"/>
        <w:ind w:firstLine="734"/>
        <w:rPr>
          <w:rFonts w:asciiTheme="majorBidi" w:hAnsiTheme="majorBidi" w:cstheme="majorBidi"/>
          <w:sz w:val="20"/>
          <w:szCs w:val="20"/>
          <w:lang w:val="fr-FR"/>
        </w:rPr>
      </w:pPr>
    </w:p>
    <w:p w:rsidR="00897A53" w:rsidRPr="00EF0CD4" w:rsidRDefault="00285E9A" w:rsidP="00EF0CD4">
      <w:pPr>
        <w:pStyle w:val="Style4"/>
        <w:widowControl/>
        <w:spacing w:before="182" w:line="360" w:lineRule="auto"/>
        <w:ind w:firstLine="734"/>
        <w:rPr>
          <w:rStyle w:val="FontStyle12"/>
          <w:rFonts w:asciiTheme="majorBidi" w:hAnsiTheme="majorBidi" w:cstheme="majorBidi"/>
          <w:lang w:val="fr-FR" w:eastAsia="fr-FR"/>
        </w:rPr>
      </w:pPr>
      <w:r w:rsidRPr="00EF0CD4">
        <w:rPr>
          <w:rStyle w:val="FontStyle12"/>
          <w:rFonts w:asciiTheme="majorBidi" w:hAnsiTheme="majorBidi" w:cstheme="majorBidi"/>
          <w:lang w:val="fr-FR" w:eastAsia="fr-FR"/>
        </w:rPr>
        <w:t>Dans une première étape, nous avons interprété le phénomène de miscibilité des systèmes binaires et ternaires à partir des températures de transition vitreuse déterminées par analyse enthalpique différentielle. Les interactions spécifiques développées aux sein des systèmes SHEA/SAD ont été quantifiées utilisant l'approche de Kwei</w:t>
      </w:r>
      <w:r w:rsidR="00EF0CD4" w:rsidRPr="00EF0CD4">
        <w:rPr>
          <w:rStyle w:val="FontStyle12"/>
          <w:rFonts w:asciiTheme="majorBidi" w:hAnsiTheme="majorBidi" w:cstheme="majorBidi"/>
          <w:vertAlign w:val="superscript"/>
          <w:lang w:val="fr-FR" w:eastAsia="fr-FR"/>
        </w:rPr>
        <w:t>[6</w:t>
      </w:r>
      <w:r w:rsidRPr="00EF0CD4">
        <w:rPr>
          <w:rStyle w:val="FontStyle12"/>
          <w:rFonts w:asciiTheme="majorBidi" w:hAnsiTheme="majorBidi" w:cstheme="majorBidi"/>
          <w:vertAlign w:val="superscript"/>
          <w:lang w:val="fr-FR" w:eastAsia="fr-FR"/>
        </w:rPr>
        <w:t>2</w:t>
      </w:r>
      <w:r w:rsidR="00EF0CD4" w:rsidRPr="00EF0CD4">
        <w:rPr>
          <w:rStyle w:val="FontStyle12"/>
          <w:rFonts w:asciiTheme="majorBidi" w:hAnsiTheme="majorBidi" w:cstheme="majorBidi"/>
          <w:vertAlign w:val="superscript"/>
          <w:lang w:val="fr-FR" w:eastAsia="fr-FR"/>
        </w:rPr>
        <w:t>]</w:t>
      </w:r>
      <w:r w:rsidRPr="00EF0CD4">
        <w:rPr>
          <w:rStyle w:val="FontStyle12"/>
          <w:rFonts w:asciiTheme="majorBidi" w:hAnsiTheme="majorBidi" w:cstheme="majorBidi"/>
          <w:lang w:val="fr-FR" w:eastAsia="fr-FR"/>
        </w:rPr>
        <w:t xml:space="preserve"> , alors que les interactions développées au sein du système PPO/SHEA-12 ont été quantifiées par la théorie de Kovacs</w:t>
      </w:r>
      <w:r w:rsidRPr="00EF0CD4">
        <w:rPr>
          <w:rStyle w:val="FontStyle12"/>
          <w:rFonts w:asciiTheme="majorBidi" w:hAnsiTheme="majorBidi" w:cstheme="majorBidi"/>
          <w:vertAlign w:val="superscript"/>
          <w:lang w:val="fr-FR" w:eastAsia="fr-FR"/>
        </w:rPr>
        <w:t>(64)</w:t>
      </w:r>
      <w:r w:rsidRPr="00EF0CD4">
        <w:rPr>
          <w:rStyle w:val="FontStyle12"/>
          <w:rFonts w:asciiTheme="majorBidi" w:hAnsiTheme="majorBidi" w:cstheme="majorBidi"/>
          <w:lang w:val="fr-FR" w:eastAsia="fr-FR"/>
        </w:rPr>
        <w:t>.</w:t>
      </w:r>
    </w:p>
    <w:p w:rsidR="00EF0CD4" w:rsidRDefault="00EF0CD4" w:rsidP="00EF0CD4">
      <w:pPr>
        <w:pStyle w:val="Style4"/>
        <w:widowControl/>
        <w:spacing w:before="24" w:line="360" w:lineRule="auto"/>
        <w:ind w:right="38" w:firstLine="730"/>
        <w:rPr>
          <w:rStyle w:val="FontStyle12"/>
          <w:rFonts w:asciiTheme="majorBidi" w:hAnsiTheme="majorBidi" w:cstheme="majorBidi"/>
          <w:lang w:val="fr-FR" w:eastAsia="fr-FR"/>
        </w:rPr>
      </w:pPr>
    </w:p>
    <w:p w:rsidR="00897A53" w:rsidRPr="00EF0CD4" w:rsidRDefault="00285E9A" w:rsidP="00EF0CD4">
      <w:pPr>
        <w:pStyle w:val="Style4"/>
        <w:widowControl/>
        <w:spacing w:before="24" w:line="360" w:lineRule="auto"/>
        <w:ind w:right="38" w:firstLine="730"/>
        <w:rPr>
          <w:rStyle w:val="FontStyle12"/>
          <w:rFonts w:asciiTheme="majorBidi" w:hAnsiTheme="majorBidi" w:cstheme="majorBidi"/>
          <w:lang w:val="fr-FR" w:eastAsia="fr-FR"/>
        </w:rPr>
      </w:pPr>
      <w:r w:rsidRPr="00EF0CD4">
        <w:rPr>
          <w:rStyle w:val="FontStyle12"/>
          <w:rFonts w:asciiTheme="majorBidi" w:hAnsiTheme="majorBidi" w:cstheme="majorBidi"/>
          <w:lang w:val="fr-FR" w:eastAsia="fr-FR"/>
        </w:rPr>
        <w:t>Dans une seconde étape, nous nous sommes intéressés aux études qualitative et quantitative des interactions spécifiques, utilisant comme technique la spectroscopie Infra-rouge à transformée de Fourier.</w:t>
      </w:r>
    </w:p>
    <w:p w:rsidR="00EF0CD4" w:rsidRDefault="00EF0CD4" w:rsidP="00EF0CD4">
      <w:pPr>
        <w:pStyle w:val="Style4"/>
        <w:widowControl/>
        <w:spacing w:line="360" w:lineRule="auto"/>
        <w:ind w:firstLine="720"/>
        <w:rPr>
          <w:rStyle w:val="FontStyle12"/>
          <w:rFonts w:asciiTheme="majorBidi" w:hAnsiTheme="majorBidi" w:cstheme="majorBidi"/>
          <w:lang w:val="fr-FR" w:eastAsia="fr-FR"/>
        </w:rPr>
      </w:pPr>
    </w:p>
    <w:p w:rsidR="007B300F" w:rsidRPr="00EF0CD4" w:rsidRDefault="00285E9A" w:rsidP="00EF0CD4">
      <w:pPr>
        <w:pStyle w:val="Style4"/>
        <w:widowControl/>
        <w:spacing w:line="360" w:lineRule="auto"/>
        <w:ind w:firstLine="720"/>
        <w:rPr>
          <w:rStyle w:val="FontStyle12"/>
          <w:rFonts w:asciiTheme="majorBidi" w:hAnsiTheme="majorBidi" w:cstheme="majorBidi"/>
          <w:lang w:val="fr-FR" w:eastAsia="fr-FR"/>
        </w:rPr>
      </w:pPr>
      <w:r w:rsidRPr="00EF0CD4">
        <w:rPr>
          <w:rStyle w:val="FontStyle12"/>
          <w:rFonts w:asciiTheme="majorBidi" w:hAnsiTheme="majorBidi" w:cstheme="majorBidi"/>
          <w:lang w:val="fr-FR" w:eastAsia="fr-FR"/>
        </w:rPr>
        <w:t>La méthode de déconvolution, nous a permis de calculer les fractions en groupements associés et libres des amides et des carbonyles dans les mélanges binaires SLIEA/SAD et les mélanges ternaires PPO/SHEA/SAD de différents rapports et de différentes compositions en comonomères.</w:t>
      </w:r>
    </w:p>
    <w:sectPr w:rsidR="007B300F" w:rsidRPr="00EF0CD4" w:rsidSect="00897A53">
      <w:footerReference w:type="default" r:id="rId6"/>
      <w:footerReference w:type="first" r:id="rId7"/>
      <w:pgSz w:w="11905" w:h="16837"/>
      <w:pgMar w:top="1794" w:right="1699" w:bottom="1440" w:left="979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7A97" w:rsidRDefault="00027A97">
      <w:r>
        <w:separator/>
      </w:r>
    </w:p>
  </w:endnote>
  <w:endnote w:type="continuationSeparator" w:id="1">
    <w:p w:rsidR="00027A97" w:rsidRDefault="00027A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A53" w:rsidRDefault="00897A53">
    <w:pPr>
      <w:widowControl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A53" w:rsidRDefault="00285E9A">
    <w:pPr>
      <w:pStyle w:val="Style3"/>
      <w:widowControl/>
      <w:ind w:right="58"/>
      <w:jc w:val="right"/>
      <w:rPr>
        <w:rStyle w:val="FontStyle14"/>
      </w:rPr>
    </w:pPr>
    <w:r>
      <w:rPr>
        <w:rStyle w:val="FontStyle14"/>
      </w:rPr>
      <w:t>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7A97" w:rsidRDefault="00027A97">
      <w:r>
        <w:separator/>
      </w:r>
    </w:p>
  </w:footnote>
  <w:footnote w:type="continuationSeparator" w:id="1">
    <w:p w:rsidR="00027A97" w:rsidRDefault="00027A9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BE6125"/>
    <w:rsid w:val="00027A97"/>
    <w:rsid w:val="00285E9A"/>
    <w:rsid w:val="007B300F"/>
    <w:rsid w:val="00897A53"/>
    <w:rsid w:val="00BE6125"/>
    <w:rsid w:val="00EF0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A53"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897A53"/>
  </w:style>
  <w:style w:type="paragraph" w:customStyle="1" w:styleId="Style2">
    <w:name w:val="Style2"/>
    <w:basedOn w:val="Normal"/>
    <w:uiPriority w:val="99"/>
    <w:rsid w:val="00897A53"/>
    <w:pPr>
      <w:spacing w:line="427" w:lineRule="exact"/>
      <w:jc w:val="right"/>
    </w:pPr>
  </w:style>
  <w:style w:type="paragraph" w:customStyle="1" w:styleId="Style3">
    <w:name w:val="Style3"/>
    <w:basedOn w:val="Normal"/>
    <w:uiPriority w:val="99"/>
    <w:rsid w:val="00897A53"/>
  </w:style>
  <w:style w:type="paragraph" w:customStyle="1" w:styleId="Style4">
    <w:name w:val="Style4"/>
    <w:basedOn w:val="Normal"/>
    <w:uiPriority w:val="99"/>
    <w:rsid w:val="00897A53"/>
    <w:pPr>
      <w:spacing w:line="418" w:lineRule="exact"/>
      <w:ind w:firstLine="725"/>
      <w:jc w:val="both"/>
    </w:pPr>
  </w:style>
  <w:style w:type="paragraph" w:customStyle="1" w:styleId="Style5">
    <w:name w:val="Style5"/>
    <w:basedOn w:val="Normal"/>
    <w:uiPriority w:val="99"/>
    <w:rsid w:val="00897A53"/>
    <w:pPr>
      <w:spacing w:line="419" w:lineRule="exact"/>
      <w:ind w:firstLine="283"/>
      <w:jc w:val="both"/>
    </w:pPr>
  </w:style>
  <w:style w:type="character" w:customStyle="1" w:styleId="FontStyle11">
    <w:name w:val="Font Style11"/>
    <w:basedOn w:val="Policepardfaut"/>
    <w:uiPriority w:val="99"/>
    <w:rsid w:val="00897A53"/>
    <w:rPr>
      <w:rFonts w:ascii="Courier New" w:hAnsi="Courier New" w:cs="Courier New"/>
      <w:b/>
      <w:bCs/>
      <w:i/>
      <w:iCs/>
      <w:spacing w:val="-30"/>
      <w:sz w:val="28"/>
      <w:szCs w:val="28"/>
      <w:lang w:bidi="ar-SA"/>
    </w:rPr>
  </w:style>
  <w:style w:type="character" w:customStyle="1" w:styleId="FontStyle12">
    <w:name w:val="Font Style12"/>
    <w:basedOn w:val="Policepardfaut"/>
    <w:uiPriority w:val="99"/>
    <w:rsid w:val="00897A53"/>
    <w:rPr>
      <w:rFonts w:ascii="Times New Roman" w:hAnsi="Times New Roman" w:cs="Times New Roman"/>
      <w:spacing w:val="10"/>
      <w:sz w:val="24"/>
      <w:szCs w:val="24"/>
      <w:lang w:bidi="ar-SA"/>
    </w:rPr>
  </w:style>
  <w:style w:type="character" w:customStyle="1" w:styleId="FontStyle13">
    <w:name w:val="Font Style13"/>
    <w:basedOn w:val="Policepardfaut"/>
    <w:uiPriority w:val="99"/>
    <w:rsid w:val="00897A53"/>
    <w:rPr>
      <w:rFonts w:ascii="Times New Roman" w:hAnsi="Times New Roman" w:cs="Times New Roman"/>
      <w:b/>
      <w:bCs/>
      <w:sz w:val="16"/>
      <w:szCs w:val="16"/>
      <w:lang w:bidi="ar-SA"/>
    </w:rPr>
  </w:style>
  <w:style w:type="character" w:customStyle="1" w:styleId="FontStyle14">
    <w:name w:val="Font Style14"/>
    <w:basedOn w:val="Policepardfaut"/>
    <w:uiPriority w:val="99"/>
    <w:rsid w:val="00897A53"/>
    <w:rPr>
      <w:rFonts w:ascii="Times New Roman" w:hAnsi="Times New Roman" w:cs="Times New Roman"/>
      <w:i/>
      <w:iCs/>
      <w:spacing w:val="20"/>
      <w:sz w:val="16"/>
      <w:szCs w:val="16"/>
      <w:lang w:bidi="ar-SA"/>
    </w:rPr>
  </w:style>
  <w:style w:type="character" w:styleId="Lienhypertexte">
    <w:name w:val="Hyperlink"/>
    <w:basedOn w:val="Policepardfaut"/>
    <w:uiPriority w:val="99"/>
    <w:rsid w:val="00897A53"/>
    <w:rPr>
      <w:color w:val="0066CC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F0CD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F0CD4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EF0CD4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EF0CD4"/>
    <w:rPr>
      <w:rFonts w:hAnsi="Times New Roman" w:cs="Times New Roman"/>
      <w:sz w:val="24"/>
      <w:szCs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EF0CD4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F0CD4"/>
    <w:rPr>
      <w:rFonts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226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3</cp:revision>
  <dcterms:created xsi:type="dcterms:W3CDTF">2017-01-18T14:00:00Z</dcterms:created>
  <dcterms:modified xsi:type="dcterms:W3CDTF">2017-01-19T12:17:00Z</dcterms:modified>
</cp:coreProperties>
</file>