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7B94" w:rsidRPr="009A7B94" w:rsidRDefault="009A7B94" w:rsidP="009A7B94">
      <w:pPr>
        <w:bidi w:val="0"/>
        <w:rPr>
          <w:lang w:val="fr-FR" w:bidi="ar-DZ"/>
        </w:rPr>
      </w:pPr>
      <w:r w:rsidRPr="009A7B94">
        <w:rPr>
          <w:lang w:val="fr-FR" w:bidi="ar-DZ"/>
        </w:rPr>
        <w:t>Le présent travail, consiste à  oxyder  par l'acide nitrique, sous reflux des charbons actifs élaborés à partir d'une biomasse  locale les noyaux de jujube sauvage, par l'activation chimique à l'hydroxyde de potassium, le chlorure de zinc, l'acide phosphorique et l'activation mixte " chimico-physique (ZnCl2/CO2) ", pour introduire des groupements fonctionnels à la surface du charbon actif.</w:t>
      </w:r>
    </w:p>
    <w:p w:rsidR="009A7B94" w:rsidRPr="009A7B94" w:rsidRDefault="009A7B94" w:rsidP="009A7B94">
      <w:pPr>
        <w:bidi w:val="0"/>
        <w:rPr>
          <w:rtl/>
          <w:lang w:val="fr-FR" w:bidi="ar-DZ"/>
        </w:rPr>
      </w:pPr>
      <w:r w:rsidRPr="009A7B94">
        <w:rPr>
          <w:lang w:val="fr-FR" w:bidi="ar-DZ"/>
        </w:rPr>
        <w:t>La structure poreuse  des charbons obtenus a été  caractérisée par l'adsorption  de l'azote gazeux  (BET) et  l'analyse par microscopique électronique. La caractérisation chimique a été réalisée par l'analyse élémentaire, la titration par le  dosage de Boehm et FTIR. Cette  étude a eu aussi  pour objectif de comparer l'efficacité de quatre  charbons actifs oxydés (NBKOX, NBZOX, NBPOX et NBZCOX)  par rapport à un charbon actif commercial non oxydé CAC dans l'épuration d'effluents aqueux contenants des acides humiques. L'influence des paramètres sur la capacité d'adsorption  des AH en phase aqueuse, a été plus particulièrement étudiée tel que ;  le temps de contact, le pH, la concentration initiale de la solution aqueuse des  AH et la température d'adsorption.</w:t>
      </w:r>
    </w:p>
    <w:p w:rsidR="009A7B94" w:rsidRPr="009A7B94" w:rsidRDefault="009A7B94" w:rsidP="009A7B94">
      <w:pPr>
        <w:bidi w:val="0"/>
        <w:rPr>
          <w:lang w:val="fr-FR" w:bidi="ar-DZ"/>
        </w:rPr>
      </w:pPr>
      <w:r w:rsidRPr="009A7B94">
        <w:rPr>
          <w:lang w:val="fr-FR" w:bidi="ar-DZ"/>
        </w:rPr>
        <w:t xml:space="preserve">La physiosorption d'azote a permis de montrer que, ces charbons sont essentiellement microporeux. L'analyse FTIR  et  le dosage d Boehm ont permis, de montrer que l'acidité attribuable à la surface est due à la présence de groupements fonctionnels qui se décomposent  thermiquement sous forme de -CO2H (fonction acide carboxylique) et de -OH (fonction phénol). L'adsorption des acides humiques AH a eu lieu en deux  étapes, la première  rapide et les taux d'adsorption ont été maximaux dans le cas de NBPOX et  NBKOX.  La cinétique d'adsorption a été bien décrit   par le modèle du seconde ordre Les isothermes d'adsorption simulées sont très correctement  décrites par les modèles de Langmuir et  Freundlich.  La capacité ultime d'adsorption atteinte est de : 76,92 mg/g dans le cas du charbon oxydé présentant la plus grande surface spécifique et une mésoporosité importante. Cette capacité  dépend de la porosité du charbon actif oxydé. </w:t>
      </w:r>
    </w:p>
    <w:p w:rsidR="00181F1C" w:rsidRPr="009A7B94" w:rsidRDefault="009A7B94" w:rsidP="009A7B94">
      <w:pPr>
        <w:bidi w:val="0"/>
        <w:rPr>
          <w:rFonts w:hint="cs"/>
          <w:lang w:val="fr-FR" w:bidi="ar-DZ"/>
        </w:rPr>
      </w:pPr>
      <w:r w:rsidRPr="009A7B94">
        <w:rPr>
          <w:lang w:val="fr-FR" w:bidi="ar-DZ"/>
        </w:rPr>
        <w:t>Les paramètres thermodynamiques tels que les  variations de l'enthalpie standard  et l'enthalpie libre  montrent que le processus d'adsorption est de nature physique, endothermique  et spontané.</w:t>
      </w:r>
    </w:p>
    <w:sectPr w:rsidR="00181F1C" w:rsidRPr="009A7B94"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9A7B94"/>
    <w:rsid w:val="00181F1C"/>
    <w:rsid w:val="005F47AF"/>
    <w:rsid w:val="009A7B9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F1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342</Words>
  <Characters>1956</Characters>
  <Application>Microsoft Office Word</Application>
  <DocSecurity>0</DocSecurity>
  <Lines>16</Lines>
  <Paragraphs>4</Paragraphs>
  <ScaleCrop>false</ScaleCrop>
  <Company/>
  <LinksUpToDate>false</LinksUpToDate>
  <CharactersWithSpaces>2294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2015-05-24T09:22:00Z</dcterms:created>
  <dcterms:modified xsi:type="dcterms:W3CDTF">2015-05-24T09:23:00Z</dcterms:modified>
</cp:coreProperties>
</file>