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70F8" w:rsidRDefault="00E370F8" w:rsidP="00E370F8">
      <w:pPr>
        <w:jc w:val="both"/>
        <w:rPr>
          <w:rFonts w:asciiTheme="majorBidi" w:hAnsiTheme="majorBidi" w:cstheme="majorBidi"/>
          <w:bCs/>
          <w:sz w:val="24"/>
          <w:szCs w:val="24"/>
        </w:rPr>
      </w:pPr>
      <w:r w:rsidRPr="00BD5A03">
        <w:rPr>
          <w:rFonts w:asciiTheme="majorBidi" w:hAnsiTheme="majorBidi" w:cstheme="majorBidi"/>
          <w:bCs/>
          <w:noProof/>
          <w:sz w:val="24"/>
          <w:szCs w:val="24"/>
          <w:lang w:eastAsia="fr-FR"/>
        </w:rPr>
        <w:drawing>
          <wp:inline distT="0" distB="0" distL="0" distR="0" wp14:anchorId="283811B8" wp14:editId="0A0C7A24">
            <wp:extent cx="5760720" cy="890122"/>
            <wp:effectExtent l="0" t="0" r="0" b="0"/>
            <wp:docPr id="2" name="Image 2" descr="D:\résum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ésumé.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60720" cy="890122"/>
                    </a:xfrm>
                    <a:prstGeom prst="rect">
                      <a:avLst/>
                    </a:prstGeom>
                    <a:noFill/>
                    <a:ln>
                      <a:noFill/>
                    </a:ln>
                  </pic:spPr>
                </pic:pic>
              </a:graphicData>
            </a:graphic>
          </wp:inline>
        </w:drawing>
      </w:r>
    </w:p>
    <w:p w:rsidR="00E370F8" w:rsidRPr="00212F89" w:rsidRDefault="00E370F8" w:rsidP="00E370F8">
      <w:pPr>
        <w:spacing w:line="360" w:lineRule="auto"/>
        <w:ind w:firstLine="708"/>
        <w:jc w:val="both"/>
        <w:rPr>
          <w:rFonts w:asciiTheme="majorBidi" w:hAnsiTheme="majorBidi" w:cstheme="majorBidi"/>
          <w:sz w:val="24"/>
          <w:szCs w:val="24"/>
        </w:rPr>
      </w:pPr>
      <w:r w:rsidRPr="00212F89">
        <w:rPr>
          <w:rFonts w:asciiTheme="majorBidi" w:hAnsiTheme="majorBidi" w:cstheme="majorBidi"/>
          <w:bCs/>
          <w:sz w:val="24"/>
          <w:szCs w:val="24"/>
        </w:rPr>
        <w:t>Le travail présenté dans cette thèse consiste à</w:t>
      </w:r>
      <w:r w:rsidRPr="00212F89">
        <w:rPr>
          <w:rFonts w:asciiTheme="majorBidi" w:hAnsiTheme="majorBidi" w:cstheme="majorBidi"/>
          <w:sz w:val="24"/>
          <w:szCs w:val="24"/>
        </w:rPr>
        <w:t xml:space="preserve"> élaborer des alliages hors équilibre à base de Cu, Fe et Co par mécanosynthèse puis à les déposer en couches minces par voie physique. Notre étude est structuré</w:t>
      </w:r>
      <w:r>
        <w:rPr>
          <w:rFonts w:asciiTheme="majorBidi" w:hAnsiTheme="majorBidi" w:cstheme="majorBidi"/>
          <w:sz w:val="24"/>
          <w:szCs w:val="24"/>
        </w:rPr>
        <w:t>e</w:t>
      </w:r>
      <w:r w:rsidRPr="00212F89">
        <w:rPr>
          <w:rFonts w:asciiTheme="majorBidi" w:hAnsiTheme="majorBidi" w:cstheme="majorBidi"/>
          <w:sz w:val="24"/>
          <w:szCs w:val="24"/>
        </w:rPr>
        <w:t xml:space="preserve"> en deux partie</w:t>
      </w:r>
      <w:r>
        <w:rPr>
          <w:rFonts w:asciiTheme="majorBidi" w:hAnsiTheme="majorBidi" w:cstheme="majorBidi"/>
          <w:sz w:val="24"/>
          <w:szCs w:val="24"/>
        </w:rPr>
        <w:t>s</w:t>
      </w:r>
      <w:r w:rsidRPr="00212F89">
        <w:rPr>
          <w:rFonts w:asciiTheme="majorBidi" w:hAnsiTheme="majorBidi" w:cstheme="majorBidi"/>
          <w:sz w:val="24"/>
          <w:szCs w:val="24"/>
        </w:rPr>
        <w:t>, la première concerne la synthèse des solutions solides sursaturées des alliages Cu</w:t>
      </w:r>
      <w:r w:rsidRPr="00212F89">
        <w:rPr>
          <w:rFonts w:asciiTheme="majorBidi" w:hAnsiTheme="majorBidi" w:cstheme="majorBidi"/>
          <w:sz w:val="24"/>
          <w:szCs w:val="24"/>
          <w:vertAlign w:val="subscript"/>
        </w:rPr>
        <w:t>1-x</w:t>
      </w:r>
      <w:r w:rsidRPr="00212F89">
        <w:rPr>
          <w:rFonts w:asciiTheme="majorBidi" w:hAnsiTheme="majorBidi" w:cstheme="majorBidi"/>
          <w:sz w:val="24"/>
          <w:szCs w:val="24"/>
        </w:rPr>
        <w:t>Fe</w:t>
      </w:r>
      <w:r w:rsidRPr="00212F89">
        <w:rPr>
          <w:rFonts w:asciiTheme="majorBidi" w:hAnsiTheme="majorBidi" w:cstheme="majorBidi"/>
          <w:sz w:val="24"/>
          <w:szCs w:val="24"/>
          <w:vertAlign w:val="subscript"/>
        </w:rPr>
        <w:t>x</w:t>
      </w:r>
      <w:r w:rsidRPr="00212F89">
        <w:rPr>
          <w:rFonts w:asciiTheme="majorBidi" w:hAnsiTheme="majorBidi" w:cstheme="majorBidi"/>
          <w:sz w:val="24"/>
          <w:szCs w:val="24"/>
        </w:rPr>
        <w:t xml:space="preserve"> (x varie de 0.1 à 0.9) et Cu</w:t>
      </w:r>
      <w:r w:rsidRPr="00212F89">
        <w:rPr>
          <w:rFonts w:asciiTheme="majorBidi" w:hAnsiTheme="majorBidi" w:cstheme="majorBidi"/>
          <w:sz w:val="24"/>
          <w:szCs w:val="24"/>
          <w:vertAlign w:val="subscript"/>
        </w:rPr>
        <w:t>70</w:t>
      </w:r>
      <w:r w:rsidRPr="00212F89">
        <w:rPr>
          <w:rFonts w:asciiTheme="majorBidi" w:hAnsiTheme="majorBidi" w:cstheme="majorBidi"/>
          <w:sz w:val="24"/>
          <w:szCs w:val="24"/>
        </w:rPr>
        <w:t>Fe</w:t>
      </w:r>
      <w:r w:rsidRPr="00212F89">
        <w:rPr>
          <w:rFonts w:asciiTheme="majorBidi" w:hAnsiTheme="majorBidi" w:cstheme="majorBidi"/>
          <w:sz w:val="24"/>
          <w:szCs w:val="24"/>
          <w:vertAlign w:val="subscript"/>
        </w:rPr>
        <w:t>18</w:t>
      </w:r>
      <w:r w:rsidRPr="00212F89">
        <w:rPr>
          <w:rFonts w:asciiTheme="majorBidi" w:hAnsiTheme="majorBidi" w:cstheme="majorBidi"/>
          <w:sz w:val="24"/>
          <w:szCs w:val="24"/>
        </w:rPr>
        <w:t>Co</w:t>
      </w:r>
      <w:r w:rsidRPr="00212F89">
        <w:rPr>
          <w:rFonts w:asciiTheme="majorBidi" w:hAnsiTheme="majorBidi" w:cstheme="majorBidi"/>
          <w:sz w:val="24"/>
          <w:szCs w:val="24"/>
          <w:vertAlign w:val="subscript"/>
        </w:rPr>
        <w:t>12</w:t>
      </w:r>
      <w:r w:rsidRPr="00212F89">
        <w:rPr>
          <w:rFonts w:asciiTheme="majorBidi" w:hAnsiTheme="majorBidi" w:cstheme="majorBidi"/>
          <w:sz w:val="24"/>
          <w:szCs w:val="24"/>
        </w:rPr>
        <w:t xml:space="preserve"> par mécanosynthèse. La seconde</w:t>
      </w:r>
      <w:r>
        <w:rPr>
          <w:rFonts w:asciiTheme="majorBidi" w:hAnsiTheme="majorBidi" w:cstheme="majorBidi"/>
          <w:sz w:val="24"/>
          <w:szCs w:val="24"/>
        </w:rPr>
        <w:t xml:space="preserve"> partie</w:t>
      </w:r>
      <w:r w:rsidRPr="00212F89">
        <w:rPr>
          <w:rFonts w:asciiTheme="majorBidi" w:hAnsiTheme="majorBidi" w:cstheme="majorBidi"/>
          <w:sz w:val="24"/>
          <w:szCs w:val="24"/>
        </w:rPr>
        <w:t xml:space="preserve"> est l’élaboration des couches mince de </w:t>
      </w:r>
      <w:r>
        <w:rPr>
          <w:rFonts w:asciiTheme="majorBidi" w:hAnsiTheme="majorBidi" w:cstheme="majorBidi"/>
          <w:sz w:val="24"/>
          <w:szCs w:val="24"/>
        </w:rPr>
        <w:t>s</w:t>
      </w:r>
      <w:r w:rsidRPr="00212F89">
        <w:rPr>
          <w:rFonts w:asciiTheme="majorBidi" w:hAnsiTheme="majorBidi" w:cstheme="majorBidi"/>
          <w:sz w:val="24"/>
          <w:szCs w:val="24"/>
        </w:rPr>
        <w:t>es alliages par évaporation thermique en variant la composition et l’épaisseur des dépôts, ainsi que de voir la différence entre le dépôt d’une solution solide et le dépôt des éléments purs qui forment nos alliages.</w:t>
      </w:r>
    </w:p>
    <w:p w:rsidR="00E370F8" w:rsidRPr="00212F89" w:rsidRDefault="00E370F8" w:rsidP="00E370F8">
      <w:pPr>
        <w:spacing w:line="360" w:lineRule="auto"/>
        <w:jc w:val="both"/>
        <w:rPr>
          <w:rFonts w:asciiTheme="majorBidi" w:hAnsiTheme="majorBidi" w:cstheme="majorBidi"/>
          <w:sz w:val="24"/>
          <w:szCs w:val="24"/>
        </w:rPr>
      </w:pPr>
      <w:r w:rsidRPr="00212F89">
        <w:rPr>
          <w:rFonts w:asciiTheme="majorBidi" w:hAnsiTheme="majorBidi" w:cstheme="majorBidi"/>
          <w:sz w:val="24"/>
          <w:szCs w:val="24"/>
        </w:rPr>
        <w:t>Ce travail nécessite l'association de plusieurs techniques de caractérisation structurale poussée afin d’étu</w:t>
      </w:r>
      <w:r>
        <w:rPr>
          <w:rFonts w:asciiTheme="majorBidi" w:hAnsiTheme="majorBidi" w:cstheme="majorBidi"/>
          <w:sz w:val="24"/>
          <w:szCs w:val="24"/>
        </w:rPr>
        <w:t>dier les échantillons élaborés.</w:t>
      </w:r>
    </w:p>
    <w:p w:rsidR="00E370F8" w:rsidRPr="00212F89" w:rsidRDefault="00E370F8" w:rsidP="00E370F8">
      <w:pPr>
        <w:spacing w:line="360" w:lineRule="auto"/>
        <w:jc w:val="both"/>
        <w:rPr>
          <w:rFonts w:asciiTheme="majorBidi" w:hAnsiTheme="majorBidi" w:cstheme="majorBidi"/>
          <w:sz w:val="24"/>
          <w:szCs w:val="24"/>
        </w:rPr>
      </w:pPr>
      <w:r w:rsidRPr="00212F89">
        <w:rPr>
          <w:rFonts w:asciiTheme="majorBidi" w:hAnsiTheme="majorBidi" w:cstheme="majorBidi"/>
          <w:sz w:val="24"/>
          <w:szCs w:val="24"/>
        </w:rPr>
        <w:t xml:space="preserve">Dans un premier temps, la morphologie et la structure des poudres élaborées et des couches obtenues par évaporation thermique sont caractérisés par plusieurs techniques : la diffraction des rayons X, la microscopie électronique en transmission et la microscopie électronique à balayage. Par la suite, la microscopie à force atomique et la fluoresce X </w:t>
      </w:r>
      <w:r>
        <w:rPr>
          <w:rFonts w:asciiTheme="majorBidi" w:hAnsiTheme="majorBidi" w:cstheme="majorBidi"/>
          <w:sz w:val="24"/>
          <w:szCs w:val="24"/>
        </w:rPr>
        <w:t xml:space="preserve">sont utilisées </w:t>
      </w:r>
      <w:r w:rsidRPr="00212F89">
        <w:rPr>
          <w:rFonts w:asciiTheme="majorBidi" w:hAnsiTheme="majorBidi" w:cstheme="majorBidi"/>
          <w:sz w:val="24"/>
          <w:szCs w:val="24"/>
        </w:rPr>
        <w:t xml:space="preserve">pour une étude approfondie des couches minces. </w:t>
      </w:r>
    </w:p>
    <w:p w:rsidR="00E370F8" w:rsidRPr="00212F89" w:rsidRDefault="00E370F8" w:rsidP="00E370F8">
      <w:pPr>
        <w:spacing w:line="360" w:lineRule="auto"/>
        <w:jc w:val="both"/>
        <w:rPr>
          <w:rFonts w:asciiTheme="majorBidi" w:hAnsiTheme="majorBidi" w:cstheme="majorBidi"/>
          <w:sz w:val="24"/>
          <w:szCs w:val="24"/>
        </w:rPr>
      </w:pPr>
      <w:r w:rsidRPr="00212F89">
        <w:rPr>
          <w:rFonts w:asciiTheme="majorBidi" w:hAnsiTheme="majorBidi" w:cstheme="majorBidi"/>
          <w:sz w:val="24"/>
          <w:szCs w:val="24"/>
        </w:rPr>
        <w:t xml:space="preserve">Dans un second temps, les propriétés magnétiques et électriques sont étudiées par la méthode des quatre points et par le magnétomètre à échantillon vibrant. A la fin </w:t>
      </w:r>
      <w:r w:rsidRPr="00212F89">
        <w:rPr>
          <w:rFonts w:asciiTheme="majorBidi" w:hAnsiTheme="majorBidi" w:cstheme="majorBidi"/>
          <w:bCs/>
          <w:sz w:val="24"/>
          <w:szCs w:val="24"/>
        </w:rPr>
        <w:t>une corrélation entre la structure et les propriétés magnétiques a été faite.</w:t>
      </w:r>
    </w:p>
    <w:p w:rsidR="00E370F8" w:rsidRDefault="00E370F8" w:rsidP="00E370F8">
      <w:pPr>
        <w:spacing w:line="360" w:lineRule="auto"/>
        <w:jc w:val="both"/>
        <w:rPr>
          <w:rFonts w:asciiTheme="majorBidi" w:hAnsiTheme="majorBidi" w:cstheme="majorBidi"/>
          <w:sz w:val="24"/>
          <w:szCs w:val="24"/>
        </w:rPr>
      </w:pPr>
      <w:r w:rsidRPr="00212F89">
        <w:rPr>
          <w:rFonts w:asciiTheme="majorBidi" w:hAnsiTheme="majorBidi" w:cstheme="majorBidi"/>
          <w:sz w:val="24"/>
          <w:szCs w:val="24"/>
        </w:rPr>
        <w:t xml:space="preserve">Les résultats obtenus montrent qu’il est possible de déposer des solutions solides </w:t>
      </w:r>
      <w:proofErr w:type="spellStart"/>
      <w:r w:rsidRPr="00212F89">
        <w:rPr>
          <w:rFonts w:asciiTheme="majorBidi" w:hAnsiTheme="majorBidi" w:cstheme="majorBidi"/>
          <w:sz w:val="24"/>
          <w:szCs w:val="24"/>
        </w:rPr>
        <w:t>CuFe</w:t>
      </w:r>
      <w:proofErr w:type="spellEnd"/>
      <w:r w:rsidRPr="00212F89">
        <w:rPr>
          <w:rFonts w:asciiTheme="majorBidi" w:hAnsiTheme="majorBidi" w:cstheme="majorBidi"/>
          <w:sz w:val="24"/>
          <w:szCs w:val="24"/>
        </w:rPr>
        <w:t xml:space="preserve"> et </w:t>
      </w:r>
      <w:proofErr w:type="spellStart"/>
      <w:r w:rsidRPr="00212F89">
        <w:rPr>
          <w:rFonts w:asciiTheme="majorBidi" w:hAnsiTheme="majorBidi" w:cstheme="majorBidi"/>
          <w:sz w:val="24"/>
          <w:szCs w:val="24"/>
        </w:rPr>
        <w:t>CuFeCo</w:t>
      </w:r>
      <w:proofErr w:type="spellEnd"/>
      <w:r w:rsidRPr="00212F89">
        <w:rPr>
          <w:rFonts w:asciiTheme="majorBidi" w:hAnsiTheme="majorBidi" w:cstheme="majorBidi"/>
          <w:sz w:val="24"/>
          <w:szCs w:val="24"/>
        </w:rPr>
        <w:t xml:space="preserve"> </w:t>
      </w:r>
      <w:proofErr w:type="spellStart"/>
      <w:r w:rsidRPr="00212F89">
        <w:rPr>
          <w:rFonts w:asciiTheme="majorBidi" w:hAnsiTheme="majorBidi" w:cstheme="majorBidi"/>
          <w:sz w:val="24"/>
          <w:szCs w:val="24"/>
        </w:rPr>
        <w:t>nanostructuré</w:t>
      </w:r>
      <w:proofErr w:type="spellEnd"/>
      <w:r w:rsidRPr="00212F89">
        <w:rPr>
          <w:rFonts w:asciiTheme="majorBidi" w:hAnsiTheme="majorBidi" w:cstheme="majorBidi"/>
          <w:sz w:val="24"/>
          <w:szCs w:val="24"/>
        </w:rPr>
        <w:t xml:space="preserve"> sous forme des couches minces. Ces couches minces ont été déposées par la méthode d’évaporation thermique d’une seule source à partir des solutions solides obtenues pas mécanosynthèse.</w:t>
      </w:r>
    </w:p>
    <w:p w:rsidR="00E370F8" w:rsidRDefault="00E370F8" w:rsidP="00E370F8">
      <w:pPr>
        <w:pStyle w:val="Retraitcorpsdetexte2"/>
        <w:ind w:firstLine="0"/>
        <w:rPr>
          <w:b/>
          <w:bCs/>
          <w:i/>
          <w:szCs w:val="24"/>
        </w:rPr>
      </w:pPr>
      <w:bookmarkStart w:id="0" w:name="_GoBack"/>
      <w:bookmarkEnd w:id="0"/>
    </w:p>
    <w:sectPr w:rsidR="00E370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AE3"/>
    <w:rsid w:val="00687ED7"/>
    <w:rsid w:val="00982AE3"/>
    <w:rsid w:val="00C056AC"/>
    <w:rsid w:val="00E370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96945A-08EF-4F11-9C6D-C5771F07E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2AE3"/>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2">
    <w:name w:val="Body Text Indent 2"/>
    <w:basedOn w:val="Normal"/>
    <w:link w:val="Retraitcorpsdetexte2Car"/>
    <w:rsid w:val="00982AE3"/>
    <w:pPr>
      <w:spacing w:after="0" w:line="360" w:lineRule="auto"/>
      <w:ind w:firstLine="708"/>
      <w:jc w:val="both"/>
    </w:pPr>
    <w:rPr>
      <w:rFonts w:ascii="Times New Roman" w:eastAsia="Times New Roman" w:hAnsi="Times New Roman" w:cs="Times New Roman"/>
      <w:sz w:val="24"/>
      <w:szCs w:val="20"/>
      <w:lang w:eastAsia="fr-FR"/>
    </w:rPr>
  </w:style>
  <w:style w:type="character" w:customStyle="1" w:styleId="Retraitcorpsdetexte2Car">
    <w:name w:val="Retrait corps de texte 2 Car"/>
    <w:basedOn w:val="Policepardfaut"/>
    <w:link w:val="Retraitcorpsdetexte2"/>
    <w:rsid w:val="00982AE3"/>
    <w:rPr>
      <w:rFonts w:ascii="Times New Roman" w:eastAsia="Times New Roman" w:hAnsi="Times New Roman" w:cs="Times New Roman"/>
      <w:sz w:val="24"/>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268</Words>
  <Characters>1479</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sony</dc:creator>
  <cp:keywords/>
  <dc:description/>
  <cp:lastModifiedBy>naima</cp:lastModifiedBy>
  <cp:revision>4</cp:revision>
  <dcterms:created xsi:type="dcterms:W3CDTF">2017-09-17T08:10:00Z</dcterms:created>
  <dcterms:modified xsi:type="dcterms:W3CDTF">2018-02-08T12:17:00Z</dcterms:modified>
</cp:coreProperties>
</file>