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615E74" w:rsidRDefault="00615E74" w:rsidP="00752B8B">
      <w:pPr>
        <w:jc w:val="both"/>
        <w:rPr>
          <w:rFonts w:asciiTheme="majorBidi" w:hAnsiTheme="majorBidi" w:cstheme="majorBidi"/>
          <w:sz w:val="24"/>
          <w:szCs w:val="24"/>
        </w:rPr>
      </w:pPr>
      <w:r w:rsidRPr="00615E74">
        <w:rPr>
          <w:rFonts w:asciiTheme="majorBidi" w:hAnsiTheme="majorBidi" w:cstheme="majorBidi"/>
          <w:sz w:val="24"/>
          <w:szCs w:val="24"/>
        </w:rPr>
        <w:t>Dans ce mémoire, nous nous intéressons à la modélisation et l’évaluation des performances de deux stratégies de CAC</w:t>
      </w:r>
      <w:r>
        <w:rPr>
          <w:rFonts w:asciiTheme="majorBidi" w:hAnsiTheme="majorBidi" w:cstheme="majorBidi"/>
          <w:sz w:val="24"/>
          <w:szCs w:val="24"/>
        </w:rPr>
        <w:t xml:space="preserve"> (Call </w:t>
      </w:r>
      <w:r w:rsidR="008E0D90">
        <w:rPr>
          <w:rFonts w:asciiTheme="majorBidi" w:hAnsiTheme="majorBidi" w:cstheme="majorBidi"/>
          <w:sz w:val="24"/>
          <w:szCs w:val="24"/>
        </w:rPr>
        <w:t>A</w:t>
      </w:r>
      <w:r>
        <w:rPr>
          <w:rFonts w:asciiTheme="majorBidi" w:hAnsiTheme="majorBidi" w:cstheme="majorBidi"/>
          <w:sz w:val="24"/>
          <w:szCs w:val="24"/>
        </w:rPr>
        <w:t xml:space="preserve">dmission </w:t>
      </w:r>
      <w:r w:rsidR="008E0D90">
        <w:rPr>
          <w:rFonts w:asciiTheme="majorBidi" w:hAnsiTheme="majorBidi" w:cstheme="majorBidi"/>
          <w:sz w:val="24"/>
          <w:szCs w:val="24"/>
        </w:rPr>
        <w:t>C</w:t>
      </w:r>
      <w:r>
        <w:rPr>
          <w:rFonts w:asciiTheme="majorBidi" w:hAnsiTheme="majorBidi" w:cstheme="majorBidi"/>
          <w:sz w:val="24"/>
          <w:szCs w:val="24"/>
        </w:rPr>
        <w:t xml:space="preserve">ontrol) </w:t>
      </w:r>
      <w:r w:rsidRPr="00615E74">
        <w:rPr>
          <w:rFonts w:asciiTheme="majorBidi" w:hAnsiTheme="majorBidi" w:cstheme="majorBidi"/>
          <w:sz w:val="24"/>
          <w:szCs w:val="24"/>
        </w:rPr>
        <w:t xml:space="preserve">ainsi qu’à l’étude de l’impact de l’utilisation des canaux gardiens dans les </w:t>
      </w:r>
      <w:r>
        <w:rPr>
          <w:rFonts w:asciiTheme="majorBidi" w:hAnsiTheme="majorBidi" w:cstheme="majorBidi"/>
          <w:sz w:val="24"/>
          <w:szCs w:val="24"/>
        </w:rPr>
        <w:t xml:space="preserve">réseaux SCNs : </w:t>
      </w:r>
      <w:r w:rsidR="008E0D90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mall </w:t>
      </w:r>
      <w:r w:rsidR="008E0D90">
        <w:rPr>
          <w:rFonts w:asciiTheme="majorBidi" w:hAnsiTheme="majorBidi" w:cstheme="majorBidi"/>
          <w:sz w:val="24"/>
          <w:szCs w:val="24"/>
        </w:rPr>
        <w:t>C</w:t>
      </w:r>
      <w:r>
        <w:rPr>
          <w:rFonts w:asciiTheme="majorBidi" w:hAnsiTheme="majorBidi" w:cstheme="majorBidi"/>
          <w:sz w:val="24"/>
          <w:szCs w:val="24"/>
        </w:rPr>
        <w:t xml:space="preserve">ell </w:t>
      </w:r>
      <w:r w:rsidR="008E0D90">
        <w:rPr>
          <w:rFonts w:asciiTheme="majorBidi" w:hAnsiTheme="majorBidi" w:cstheme="majorBidi"/>
          <w:sz w:val="24"/>
          <w:szCs w:val="24"/>
        </w:rPr>
        <w:t>N</w:t>
      </w:r>
      <w:r>
        <w:rPr>
          <w:rFonts w:asciiTheme="majorBidi" w:hAnsiTheme="majorBidi" w:cstheme="majorBidi"/>
          <w:sz w:val="24"/>
          <w:szCs w:val="24"/>
        </w:rPr>
        <w:t>etworks</w:t>
      </w:r>
      <w:r w:rsidRPr="00615E74">
        <w:rPr>
          <w:rFonts w:asciiTheme="majorBidi" w:hAnsiTheme="majorBidi" w:cstheme="majorBidi"/>
          <w:sz w:val="24"/>
          <w:szCs w:val="24"/>
        </w:rPr>
        <w:t>, tout en prenant en compte le phénomène de</w:t>
      </w:r>
      <w:r>
        <w:rPr>
          <w:rFonts w:asciiTheme="majorBidi" w:hAnsiTheme="majorBidi" w:cstheme="majorBidi"/>
          <w:sz w:val="24"/>
          <w:szCs w:val="24"/>
        </w:rPr>
        <w:t>s appels répétés</w:t>
      </w:r>
      <w:r w:rsidR="008E0D90">
        <w:rPr>
          <w:rFonts w:asciiTheme="majorBidi" w:hAnsiTheme="majorBidi" w:cstheme="majorBidi"/>
          <w:sz w:val="24"/>
          <w:szCs w:val="24"/>
        </w:rPr>
        <w:t xml:space="preserve"> (rappel)</w:t>
      </w:r>
      <w:r w:rsidRPr="00615E74">
        <w:rPr>
          <w:rFonts w:asciiTheme="majorBidi" w:hAnsiTheme="majorBidi" w:cstheme="majorBidi"/>
          <w:sz w:val="24"/>
          <w:szCs w:val="24"/>
        </w:rPr>
        <w:t xml:space="preserve">. </w:t>
      </w:r>
      <w:r w:rsidR="00610BF6">
        <w:rPr>
          <w:rFonts w:asciiTheme="majorBidi" w:hAnsiTheme="majorBidi" w:cstheme="majorBidi"/>
          <w:sz w:val="24"/>
          <w:szCs w:val="24"/>
        </w:rPr>
        <w:t>Pour cela, n</w:t>
      </w:r>
      <w:r w:rsidRPr="00615E74">
        <w:rPr>
          <w:rFonts w:asciiTheme="majorBidi" w:hAnsiTheme="majorBidi" w:cstheme="majorBidi"/>
          <w:sz w:val="24"/>
          <w:szCs w:val="24"/>
        </w:rPr>
        <w:t>ous proposons</w:t>
      </w:r>
      <w:r w:rsidR="00B937AA">
        <w:rPr>
          <w:rFonts w:asciiTheme="majorBidi" w:hAnsiTheme="majorBidi" w:cstheme="majorBidi"/>
          <w:sz w:val="24"/>
          <w:szCs w:val="24"/>
        </w:rPr>
        <w:t xml:space="preserve"> </w:t>
      </w:r>
      <w:r w:rsidRPr="00615E74">
        <w:rPr>
          <w:rFonts w:asciiTheme="majorBidi" w:hAnsiTheme="majorBidi" w:cstheme="majorBidi"/>
          <w:sz w:val="24"/>
          <w:szCs w:val="24"/>
        </w:rPr>
        <w:t xml:space="preserve">l’analyse d’un modèle de CAC avec rappel, source finie et g canaux gardiens, </w:t>
      </w:r>
      <w:r w:rsidR="00752B8B">
        <w:rPr>
          <w:rFonts w:asciiTheme="majorBidi" w:hAnsiTheme="majorBidi" w:cstheme="majorBidi"/>
          <w:sz w:val="24"/>
          <w:szCs w:val="24"/>
        </w:rPr>
        <w:t>via l</w:t>
      </w:r>
      <w:r w:rsidRPr="00615E74">
        <w:rPr>
          <w:rFonts w:asciiTheme="majorBidi" w:hAnsiTheme="majorBidi" w:cstheme="majorBidi"/>
          <w:sz w:val="24"/>
          <w:szCs w:val="24"/>
        </w:rPr>
        <w:t xml:space="preserve">es chaines de Markov à temps </w:t>
      </w:r>
      <w:r>
        <w:rPr>
          <w:rFonts w:asciiTheme="majorBidi" w:hAnsiTheme="majorBidi" w:cstheme="majorBidi"/>
          <w:sz w:val="24"/>
          <w:szCs w:val="24"/>
        </w:rPr>
        <w:t>continu</w:t>
      </w:r>
      <w:r w:rsidRPr="00615E74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Après, </w:t>
      </w:r>
      <w:r w:rsidRPr="00615E74">
        <w:rPr>
          <w:rFonts w:asciiTheme="majorBidi" w:hAnsiTheme="majorBidi" w:cstheme="majorBidi"/>
          <w:sz w:val="24"/>
          <w:szCs w:val="24"/>
        </w:rPr>
        <w:t xml:space="preserve">nous proposons une nouvelle stratégie de CAC </w:t>
      </w:r>
      <w:r w:rsidR="008E0D90">
        <w:rPr>
          <w:rFonts w:asciiTheme="majorBidi" w:hAnsiTheme="majorBidi" w:cstheme="majorBidi"/>
          <w:sz w:val="24"/>
          <w:szCs w:val="24"/>
        </w:rPr>
        <w:t>avec</w:t>
      </w:r>
      <w:r w:rsidRPr="00615E74">
        <w:rPr>
          <w:rFonts w:asciiTheme="majorBidi" w:hAnsiTheme="majorBidi" w:cstheme="majorBidi"/>
          <w:sz w:val="24"/>
          <w:szCs w:val="24"/>
        </w:rPr>
        <w:t xml:space="preserve"> canaux gardiens empruntables et une priorité pour le</w:t>
      </w:r>
      <w:r w:rsidR="008E0D90">
        <w:rPr>
          <w:rFonts w:asciiTheme="majorBidi" w:hAnsiTheme="majorBidi" w:cstheme="majorBidi"/>
          <w:sz w:val="24"/>
          <w:szCs w:val="24"/>
        </w:rPr>
        <w:t xml:space="preserve"> rappel des nouveaux appels</w:t>
      </w:r>
      <w:r w:rsidRPr="00615E74">
        <w:rPr>
          <w:rFonts w:asciiTheme="majorBidi" w:hAnsiTheme="majorBidi" w:cstheme="majorBidi"/>
          <w:sz w:val="24"/>
          <w:szCs w:val="24"/>
        </w:rPr>
        <w:t xml:space="preserve">, </w:t>
      </w:r>
      <w:r w:rsidR="00752B8B">
        <w:rPr>
          <w:rFonts w:asciiTheme="majorBidi" w:hAnsiTheme="majorBidi" w:cstheme="majorBidi"/>
          <w:sz w:val="24"/>
          <w:szCs w:val="24"/>
        </w:rPr>
        <w:t xml:space="preserve">via les </w:t>
      </w:r>
      <w:r w:rsidR="00B937AA">
        <w:rPr>
          <w:rFonts w:asciiTheme="majorBidi" w:hAnsiTheme="majorBidi" w:cstheme="majorBidi"/>
          <w:sz w:val="24"/>
          <w:szCs w:val="24"/>
        </w:rPr>
        <w:t xml:space="preserve">réseaux de </w:t>
      </w:r>
      <w:r w:rsidR="00610BF6">
        <w:rPr>
          <w:rFonts w:asciiTheme="majorBidi" w:hAnsiTheme="majorBidi" w:cstheme="majorBidi"/>
          <w:sz w:val="24"/>
          <w:szCs w:val="24"/>
        </w:rPr>
        <w:t>Petri stochastique généralisés</w:t>
      </w:r>
      <w:r w:rsidR="008E0D90">
        <w:rPr>
          <w:rFonts w:asciiTheme="majorBidi" w:hAnsiTheme="majorBidi" w:cstheme="majorBidi"/>
          <w:sz w:val="24"/>
          <w:szCs w:val="24"/>
        </w:rPr>
        <w:t>.</w:t>
      </w:r>
    </w:p>
    <w:sectPr w:rsidR="00000000" w:rsidRPr="00615E7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513680"/>
    <w:rsid w:val="00166D14"/>
    <w:rsid w:val="00513680"/>
    <w:rsid w:val="00610BF6"/>
    <w:rsid w:val="00615E74"/>
    <w:rsid w:val="00752B8B"/>
    <w:rsid w:val="008E0D90"/>
    <w:rsid w:val="00975EBD"/>
    <w:rsid w:val="00B937AA"/>
    <w:rsid w:val="00BF76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15E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5E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101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7</cp:revision>
  <dcterms:created xsi:type="dcterms:W3CDTF">2014-06-15T19:08:00Z</dcterms:created>
  <dcterms:modified xsi:type="dcterms:W3CDTF">2014-06-15T19:42:00Z</dcterms:modified>
</cp:coreProperties>
</file>