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6C27" w:rsidRDefault="00706C27" w:rsidP="00D472CB">
      <w:pPr>
        <w:jc w:val="center"/>
        <w:rPr>
          <w:rFonts w:asciiTheme="majorBidi" w:hAnsiTheme="majorBidi" w:cstheme="majorBidi"/>
          <w:b/>
          <w:bCs/>
          <w:szCs w:val="24"/>
        </w:rPr>
      </w:pPr>
    </w:p>
    <w:p w:rsidR="00706C27" w:rsidRDefault="00706C27" w:rsidP="00D472CB">
      <w:pPr>
        <w:jc w:val="center"/>
        <w:rPr>
          <w:rFonts w:asciiTheme="majorBidi" w:hAnsiTheme="majorBidi" w:cstheme="majorBidi"/>
          <w:b/>
          <w:bCs/>
          <w:szCs w:val="24"/>
        </w:rPr>
      </w:pPr>
    </w:p>
    <w:p w:rsidR="00706C27" w:rsidRDefault="00706C27" w:rsidP="00D472CB">
      <w:pPr>
        <w:jc w:val="center"/>
        <w:rPr>
          <w:rFonts w:asciiTheme="majorBidi" w:hAnsiTheme="majorBidi" w:cstheme="majorBidi"/>
          <w:b/>
          <w:bCs/>
          <w:szCs w:val="24"/>
        </w:rPr>
      </w:pPr>
    </w:p>
    <w:p w:rsidR="00706C27" w:rsidRDefault="00706C27" w:rsidP="00D472CB">
      <w:pPr>
        <w:jc w:val="center"/>
        <w:rPr>
          <w:rFonts w:asciiTheme="majorBidi" w:hAnsiTheme="majorBidi" w:cstheme="majorBidi"/>
          <w:b/>
          <w:bCs/>
          <w:szCs w:val="24"/>
        </w:rPr>
      </w:pPr>
    </w:p>
    <w:p w:rsidR="004E782C" w:rsidRDefault="004E782C" w:rsidP="00D472CB">
      <w:pPr>
        <w:jc w:val="center"/>
        <w:rPr>
          <w:rFonts w:asciiTheme="majorBidi" w:hAnsiTheme="majorBidi" w:cstheme="majorBidi"/>
          <w:b/>
          <w:bCs/>
          <w:szCs w:val="24"/>
        </w:rPr>
      </w:pPr>
      <w:r>
        <w:rPr>
          <w:rFonts w:asciiTheme="majorBidi" w:hAnsiTheme="majorBidi" w:cstheme="majorBidi"/>
          <w:b/>
          <w:bCs/>
          <w:szCs w:val="24"/>
        </w:rPr>
        <w:t>R</w:t>
      </w:r>
      <w:r w:rsidR="00D472CB">
        <w:rPr>
          <w:rFonts w:asciiTheme="majorBidi" w:hAnsiTheme="majorBidi" w:cstheme="majorBidi"/>
          <w:b/>
          <w:bCs/>
          <w:szCs w:val="24"/>
        </w:rPr>
        <w:t>É</w:t>
      </w:r>
      <w:r>
        <w:rPr>
          <w:rFonts w:asciiTheme="majorBidi" w:hAnsiTheme="majorBidi" w:cstheme="majorBidi"/>
          <w:b/>
          <w:bCs/>
          <w:szCs w:val="24"/>
        </w:rPr>
        <w:t>SUM</w:t>
      </w:r>
      <w:r w:rsidR="00D472CB">
        <w:rPr>
          <w:rFonts w:asciiTheme="majorBidi" w:hAnsiTheme="majorBidi" w:cstheme="majorBidi"/>
          <w:b/>
          <w:bCs/>
          <w:szCs w:val="24"/>
        </w:rPr>
        <w:t>É</w:t>
      </w:r>
    </w:p>
    <w:p w:rsidR="004E782C" w:rsidRPr="000E00ED" w:rsidRDefault="004E782C" w:rsidP="004E782C">
      <w:pPr>
        <w:pBdr>
          <w:top w:val="single" w:sz="4" w:space="1" w:color="auto"/>
          <w:left w:val="single" w:sz="4" w:space="4" w:color="auto"/>
          <w:bottom w:val="single" w:sz="4" w:space="1" w:color="auto"/>
          <w:right w:val="single" w:sz="4" w:space="4" w:color="auto"/>
        </w:pBdr>
        <w:autoSpaceDE w:val="0"/>
        <w:autoSpaceDN w:val="0"/>
        <w:adjustRightInd w:val="0"/>
        <w:spacing w:after="120"/>
        <w:ind w:firstLine="426"/>
        <w:rPr>
          <w:sz w:val="22"/>
        </w:rPr>
      </w:pPr>
      <w:r w:rsidRPr="000E00ED">
        <w:rPr>
          <w:sz w:val="22"/>
        </w:rPr>
        <w:t xml:space="preserve">La technologie de communication mobile offre la mobilité et la flexibilité de communiquer indépendamment du lieu et de temps. Malheureusement, dans les conversations téléphoniques à travers les réseaux de communications mobiles, la qualité de la parole est dégradée par la présence de l’écho acoustique et le bruit de l’environnement. Un système d’annulation d’écho acoustique est donc indispensable pour éliminer l’écho indésirable et améliorer l’intelligibilité de la parole transmise. </w:t>
      </w:r>
    </w:p>
    <w:p w:rsidR="004E782C" w:rsidRPr="000E00ED" w:rsidRDefault="004E782C" w:rsidP="004E782C">
      <w:pPr>
        <w:pBdr>
          <w:top w:val="single" w:sz="4" w:space="1" w:color="auto"/>
          <w:left w:val="single" w:sz="4" w:space="4" w:color="auto"/>
          <w:bottom w:val="single" w:sz="4" w:space="1" w:color="auto"/>
          <w:right w:val="single" w:sz="4" w:space="4" w:color="auto"/>
        </w:pBdr>
        <w:autoSpaceDE w:val="0"/>
        <w:autoSpaceDN w:val="0"/>
        <w:adjustRightInd w:val="0"/>
        <w:spacing w:after="120"/>
        <w:ind w:firstLine="426"/>
        <w:rPr>
          <w:rFonts w:asciiTheme="majorBidi" w:hAnsiTheme="majorBidi" w:cstheme="majorBidi"/>
          <w:sz w:val="22"/>
        </w:rPr>
      </w:pPr>
      <w:r w:rsidRPr="000E00ED">
        <w:rPr>
          <w:rFonts w:eastAsia="Times New Roman"/>
          <w:sz w:val="22"/>
        </w:rPr>
        <w:t xml:space="preserve">Le problème de l’écho acoustique est dû au couplage acoustique entre le haut-parleur et le microphone d’un terminal mobile. L’annulation d’écho acoustique (AEC)  peut être considérée comme </w:t>
      </w:r>
      <w:r>
        <w:rPr>
          <w:rFonts w:eastAsia="Times New Roman"/>
          <w:sz w:val="22"/>
        </w:rPr>
        <w:t xml:space="preserve">une </w:t>
      </w:r>
      <w:r w:rsidRPr="000E00ED">
        <w:rPr>
          <w:rFonts w:eastAsia="Times New Roman"/>
          <w:sz w:val="22"/>
        </w:rPr>
        <w:t>application typique d’un filtrage adaptatif basée sur l’identification de chemin d’écho. Malheureusement, la présence de la parole du locuteur proche durant l’annulation d’écho acoustique provoque une situation de double parole qui perturbe le fonctionnement de l’AEC par une divergence des coefficients du filtre adaptatif.</w:t>
      </w:r>
    </w:p>
    <w:p w:rsidR="004E782C" w:rsidRPr="000E00ED" w:rsidRDefault="004E782C" w:rsidP="004E782C">
      <w:pPr>
        <w:pBdr>
          <w:top w:val="single" w:sz="4" w:space="1" w:color="auto"/>
          <w:left w:val="single" w:sz="4" w:space="4" w:color="auto"/>
          <w:bottom w:val="single" w:sz="4" w:space="1" w:color="auto"/>
          <w:right w:val="single" w:sz="4" w:space="4" w:color="auto"/>
        </w:pBdr>
        <w:autoSpaceDE w:val="0"/>
        <w:autoSpaceDN w:val="0"/>
        <w:adjustRightInd w:val="0"/>
        <w:spacing w:after="120"/>
        <w:ind w:firstLine="426"/>
        <w:rPr>
          <w:sz w:val="22"/>
        </w:rPr>
      </w:pPr>
      <w:r w:rsidRPr="000E00ED">
        <w:rPr>
          <w:sz w:val="22"/>
        </w:rPr>
        <w:t xml:space="preserve">Dans cette thèse, l’objectif principal est l’amélioration de l’annulation d’écho acoustique dans les communications mobiles, avec la prise en compte de la double parole, en développant des  algorithmes de filtrage adaptatif. Deux contributions importantes ont été introduites. </w:t>
      </w:r>
    </w:p>
    <w:p w:rsidR="004E782C" w:rsidRPr="000E00ED" w:rsidRDefault="004E782C" w:rsidP="004E782C">
      <w:pPr>
        <w:pBdr>
          <w:top w:val="single" w:sz="4" w:space="1" w:color="auto"/>
          <w:left w:val="single" w:sz="4" w:space="4" w:color="auto"/>
          <w:bottom w:val="single" w:sz="4" w:space="1" w:color="auto"/>
          <w:right w:val="single" w:sz="4" w:space="4" w:color="auto"/>
        </w:pBdr>
        <w:autoSpaceDE w:val="0"/>
        <w:autoSpaceDN w:val="0"/>
        <w:adjustRightInd w:val="0"/>
        <w:spacing w:after="120"/>
        <w:ind w:firstLine="426"/>
        <w:rPr>
          <w:sz w:val="22"/>
        </w:rPr>
      </w:pPr>
      <w:r w:rsidRPr="000E00ED">
        <w:rPr>
          <w:sz w:val="22"/>
        </w:rPr>
        <w:t>La première contribution concerne l’annulation d’écho acoustique o</w:t>
      </w:r>
      <w:r w:rsidRPr="000E00ED">
        <w:rPr>
          <w:rFonts w:cs="Times New Roman"/>
          <w:sz w:val="22"/>
        </w:rPr>
        <w:t>ù</w:t>
      </w:r>
      <w:r w:rsidRPr="000E00ED">
        <w:rPr>
          <w:sz w:val="22"/>
        </w:rPr>
        <w:t xml:space="preserve"> un algorithme de filtrage adaptatif à pas d’adaptation variable, de type gradient stochastique normalisé (VSS-NLMS), est proposé. Le but principal, c’est l’amélioration de la vitesse de convergence et l’erreur résiduelle dans le régime statique, ainsi que la robustesse contre le bruit ambiant. Les résultats obtenus par l’algorithme proposé confirment de</w:t>
      </w:r>
      <w:r w:rsidR="0010293F">
        <w:rPr>
          <w:sz w:val="22"/>
        </w:rPr>
        <w:t>s</w:t>
      </w:r>
      <w:r w:rsidRPr="000E00ED">
        <w:rPr>
          <w:sz w:val="22"/>
        </w:rPr>
        <w:t xml:space="preserve"> meilleures performances par rapport aux algorithmes de pas d’adaptation variable exist</w:t>
      </w:r>
      <w:r>
        <w:rPr>
          <w:sz w:val="22"/>
        </w:rPr>
        <w:t>es</w:t>
      </w:r>
      <w:r w:rsidRPr="000E00ED">
        <w:rPr>
          <w:sz w:val="22"/>
        </w:rPr>
        <w:t xml:space="preserve"> dans la littérature.  </w:t>
      </w:r>
    </w:p>
    <w:p w:rsidR="004E782C" w:rsidRPr="000E00ED" w:rsidRDefault="004E782C" w:rsidP="00C443AA">
      <w:pPr>
        <w:pBdr>
          <w:top w:val="single" w:sz="4" w:space="1" w:color="auto"/>
          <w:left w:val="single" w:sz="4" w:space="4" w:color="auto"/>
          <w:bottom w:val="single" w:sz="4" w:space="1" w:color="auto"/>
          <w:right w:val="single" w:sz="4" w:space="4" w:color="auto"/>
        </w:pBdr>
        <w:autoSpaceDE w:val="0"/>
        <w:autoSpaceDN w:val="0"/>
        <w:adjustRightInd w:val="0"/>
        <w:spacing w:after="120"/>
        <w:ind w:firstLine="425"/>
        <w:rPr>
          <w:sz w:val="22"/>
        </w:rPr>
      </w:pPr>
      <w:r w:rsidRPr="000E00ED">
        <w:rPr>
          <w:sz w:val="22"/>
        </w:rPr>
        <w:t xml:space="preserve">La deuxième contribution concerne la détection de double-parole, pour détecter l’activité de la parole du locuteur proche et contrôler l’adaptation du filtre adaptatif, par le blocage de l’adaptation dans les situations de double-parole. </w:t>
      </w:r>
      <w:r w:rsidR="00C443AA">
        <w:rPr>
          <w:sz w:val="22"/>
        </w:rPr>
        <w:t>Quatre</w:t>
      </w:r>
      <w:r w:rsidRPr="000E00ED">
        <w:rPr>
          <w:sz w:val="22"/>
        </w:rPr>
        <w:t xml:space="preserve"> algorithmes de détection de double-parole ont été proposés. Le premier est une amélioration de l’algorithme de cross-corrélation normalisée utilisant la décomposition en valeurs singulières (SVD). Le deuxième et le troisième sont basés, respectivement, sur utilisation d’un filtre adaptatif auxiliaire, et l’extraction des caractéristiques de la parole.</w:t>
      </w:r>
      <w:r w:rsidR="00C443AA">
        <w:rPr>
          <w:sz w:val="22"/>
        </w:rPr>
        <w:t xml:space="preserve"> Le quatrième utilise la transformée de Stockwell.</w:t>
      </w:r>
    </w:p>
    <w:p w:rsidR="004E782C" w:rsidRPr="000E00ED" w:rsidRDefault="004E782C" w:rsidP="00885122">
      <w:pPr>
        <w:pBdr>
          <w:top w:val="single" w:sz="4" w:space="1" w:color="auto"/>
          <w:left w:val="single" w:sz="4" w:space="4" w:color="auto"/>
          <w:bottom w:val="single" w:sz="4" w:space="1" w:color="auto"/>
          <w:right w:val="single" w:sz="4" w:space="4" w:color="auto"/>
        </w:pBdr>
        <w:autoSpaceDE w:val="0"/>
        <w:autoSpaceDN w:val="0"/>
        <w:adjustRightInd w:val="0"/>
        <w:spacing w:after="120"/>
        <w:ind w:firstLine="425"/>
        <w:rPr>
          <w:sz w:val="22"/>
        </w:rPr>
      </w:pPr>
      <w:r w:rsidRPr="000E00ED">
        <w:rPr>
          <w:sz w:val="22"/>
        </w:rPr>
        <w:t>Ce</w:t>
      </w:r>
      <w:r w:rsidR="00C443AA">
        <w:rPr>
          <w:sz w:val="22"/>
        </w:rPr>
        <w:t xml:space="preserve">s algorithmes, testés </w:t>
      </w:r>
      <w:r w:rsidR="00885122">
        <w:rPr>
          <w:sz w:val="22"/>
        </w:rPr>
        <w:t>par</w:t>
      </w:r>
      <w:bookmarkStart w:id="0" w:name="_GoBack"/>
      <w:bookmarkEnd w:id="0"/>
      <w:r w:rsidR="00C443AA">
        <w:rPr>
          <w:sz w:val="22"/>
        </w:rPr>
        <w:t xml:space="preserve"> des signaux</w:t>
      </w:r>
      <w:r w:rsidRPr="000E00ED">
        <w:rPr>
          <w:sz w:val="22"/>
        </w:rPr>
        <w:t xml:space="preserve"> de parole et de bruits issus des bases de données TIMIT et</w:t>
      </w:r>
      <w:r w:rsidR="00C443AA">
        <w:rPr>
          <w:sz w:val="22"/>
        </w:rPr>
        <w:t xml:space="preserve"> NOISEUS</w:t>
      </w:r>
      <w:r w:rsidRPr="000E00ED">
        <w:rPr>
          <w:sz w:val="22"/>
        </w:rPr>
        <w:t>, permettent d’améliorer les performances de l’annulation d’écho acoustique dans un scénario de double-parole</w:t>
      </w:r>
      <w:r w:rsidR="00847705">
        <w:rPr>
          <w:sz w:val="22"/>
        </w:rPr>
        <w:t xml:space="preserve">. </w:t>
      </w:r>
      <w:r w:rsidR="00847705" w:rsidRPr="00847705">
        <w:rPr>
          <w:sz w:val="22"/>
        </w:rPr>
        <w:t xml:space="preserve">Les performances de ces </w:t>
      </w:r>
      <w:r w:rsidR="00847705">
        <w:rPr>
          <w:sz w:val="22"/>
        </w:rPr>
        <w:t>algorithmes</w:t>
      </w:r>
      <w:r w:rsidR="00847705" w:rsidRPr="00847705">
        <w:rPr>
          <w:sz w:val="22"/>
        </w:rPr>
        <w:t xml:space="preserve"> ont été comparées par rapport aux </w:t>
      </w:r>
      <w:r w:rsidR="00847705">
        <w:rPr>
          <w:sz w:val="22"/>
        </w:rPr>
        <w:t>algorithmes</w:t>
      </w:r>
      <w:r w:rsidR="00847705" w:rsidRPr="00847705">
        <w:rPr>
          <w:sz w:val="22"/>
        </w:rPr>
        <w:t xml:space="preserve"> de cross-</w:t>
      </w:r>
      <w:r w:rsidR="00847705">
        <w:rPr>
          <w:sz w:val="22"/>
        </w:rPr>
        <w:t>corrélation normalisée (NCC)</w:t>
      </w:r>
      <w:r w:rsidR="00847705" w:rsidRPr="00847705">
        <w:rPr>
          <w:sz w:val="22"/>
        </w:rPr>
        <w:t>, et de Geigel.</w:t>
      </w:r>
    </w:p>
    <w:p w:rsidR="004E782C" w:rsidRPr="005200D8" w:rsidRDefault="004E782C" w:rsidP="004E782C">
      <w:pPr>
        <w:spacing w:after="0"/>
        <w:rPr>
          <w:rFonts w:asciiTheme="majorBidi" w:hAnsiTheme="majorBidi" w:cstheme="majorBidi"/>
          <w:sz w:val="22"/>
        </w:rPr>
      </w:pPr>
    </w:p>
    <w:sectPr w:rsidR="004E782C" w:rsidRPr="005200D8" w:rsidSect="004E782C">
      <w:pgSz w:w="11906" w:h="16838" w:code="9"/>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5B47" w:rsidRDefault="006F5B47" w:rsidP="004E782C">
      <w:pPr>
        <w:spacing w:after="0" w:line="240" w:lineRule="auto"/>
      </w:pPr>
      <w:r>
        <w:separator/>
      </w:r>
    </w:p>
  </w:endnote>
  <w:endnote w:type="continuationSeparator" w:id="1">
    <w:p w:rsidR="006F5B47" w:rsidRDefault="006F5B47" w:rsidP="004E78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5B47" w:rsidRDefault="006F5B47" w:rsidP="004E782C">
      <w:pPr>
        <w:spacing w:after="0" w:line="240" w:lineRule="auto"/>
      </w:pPr>
      <w:r>
        <w:separator/>
      </w:r>
    </w:p>
  </w:footnote>
  <w:footnote w:type="continuationSeparator" w:id="1">
    <w:p w:rsidR="006F5B47" w:rsidRDefault="006F5B47" w:rsidP="004E782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footnotePr>
    <w:footnote w:id="0"/>
    <w:footnote w:id="1"/>
  </w:footnotePr>
  <w:endnotePr>
    <w:endnote w:id="0"/>
    <w:endnote w:id="1"/>
  </w:endnotePr>
  <w:compat/>
  <w:rsids>
    <w:rsidRoot w:val="002E159F"/>
    <w:rsid w:val="000104DF"/>
    <w:rsid w:val="00022419"/>
    <w:rsid w:val="0003224D"/>
    <w:rsid w:val="000343A8"/>
    <w:rsid w:val="00036214"/>
    <w:rsid w:val="00037DD4"/>
    <w:rsid w:val="00046464"/>
    <w:rsid w:val="000516C0"/>
    <w:rsid w:val="00063798"/>
    <w:rsid w:val="00065ACE"/>
    <w:rsid w:val="00075A9F"/>
    <w:rsid w:val="00076191"/>
    <w:rsid w:val="00082041"/>
    <w:rsid w:val="0008223A"/>
    <w:rsid w:val="000878D2"/>
    <w:rsid w:val="00091851"/>
    <w:rsid w:val="00095AA8"/>
    <w:rsid w:val="000A72DB"/>
    <w:rsid w:val="000B5022"/>
    <w:rsid w:val="000B7620"/>
    <w:rsid w:val="000C3E80"/>
    <w:rsid w:val="000C423A"/>
    <w:rsid w:val="000C42D4"/>
    <w:rsid w:val="000C5E5E"/>
    <w:rsid w:val="000D12E4"/>
    <w:rsid w:val="000D1D32"/>
    <w:rsid w:val="000E4A1E"/>
    <w:rsid w:val="000E58E2"/>
    <w:rsid w:val="000E7656"/>
    <w:rsid w:val="000F4597"/>
    <w:rsid w:val="000F50C8"/>
    <w:rsid w:val="000F53D3"/>
    <w:rsid w:val="000F6BA3"/>
    <w:rsid w:val="00100306"/>
    <w:rsid w:val="0010293F"/>
    <w:rsid w:val="001041DB"/>
    <w:rsid w:val="00107D6F"/>
    <w:rsid w:val="00111A5B"/>
    <w:rsid w:val="001244E1"/>
    <w:rsid w:val="00131C27"/>
    <w:rsid w:val="00143B67"/>
    <w:rsid w:val="001457E3"/>
    <w:rsid w:val="00146DB9"/>
    <w:rsid w:val="00155657"/>
    <w:rsid w:val="00156828"/>
    <w:rsid w:val="001608B0"/>
    <w:rsid w:val="001661E9"/>
    <w:rsid w:val="001710A4"/>
    <w:rsid w:val="00171C21"/>
    <w:rsid w:val="001761B1"/>
    <w:rsid w:val="001835AA"/>
    <w:rsid w:val="00184DA8"/>
    <w:rsid w:val="00184E76"/>
    <w:rsid w:val="0018592F"/>
    <w:rsid w:val="0019642C"/>
    <w:rsid w:val="00197FFD"/>
    <w:rsid w:val="001A36D8"/>
    <w:rsid w:val="001A5500"/>
    <w:rsid w:val="001A733B"/>
    <w:rsid w:val="001A79DF"/>
    <w:rsid w:val="001B4BAF"/>
    <w:rsid w:val="001B4EB7"/>
    <w:rsid w:val="001B72D3"/>
    <w:rsid w:val="001C31A6"/>
    <w:rsid w:val="001C3CA2"/>
    <w:rsid w:val="001C455A"/>
    <w:rsid w:val="001C6304"/>
    <w:rsid w:val="001D0135"/>
    <w:rsid w:val="001D2533"/>
    <w:rsid w:val="001D2FBE"/>
    <w:rsid w:val="001D7F0D"/>
    <w:rsid w:val="001F101A"/>
    <w:rsid w:val="001F39D7"/>
    <w:rsid w:val="001F4A42"/>
    <w:rsid w:val="001F59EB"/>
    <w:rsid w:val="001F7429"/>
    <w:rsid w:val="001F7955"/>
    <w:rsid w:val="001F7DA7"/>
    <w:rsid w:val="002153B7"/>
    <w:rsid w:val="00215EF7"/>
    <w:rsid w:val="002169AC"/>
    <w:rsid w:val="00225034"/>
    <w:rsid w:val="002316A0"/>
    <w:rsid w:val="00233190"/>
    <w:rsid w:val="0023369B"/>
    <w:rsid w:val="002371ED"/>
    <w:rsid w:val="00243999"/>
    <w:rsid w:val="0024501C"/>
    <w:rsid w:val="002456BF"/>
    <w:rsid w:val="00245BED"/>
    <w:rsid w:val="00246E91"/>
    <w:rsid w:val="002513D7"/>
    <w:rsid w:val="00252663"/>
    <w:rsid w:val="002554F6"/>
    <w:rsid w:val="00264B78"/>
    <w:rsid w:val="00265ADD"/>
    <w:rsid w:val="00274810"/>
    <w:rsid w:val="00286C2C"/>
    <w:rsid w:val="00291412"/>
    <w:rsid w:val="002929E9"/>
    <w:rsid w:val="00293827"/>
    <w:rsid w:val="00295248"/>
    <w:rsid w:val="00296CF9"/>
    <w:rsid w:val="00296FA5"/>
    <w:rsid w:val="002A0E81"/>
    <w:rsid w:val="002A4709"/>
    <w:rsid w:val="002C02CE"/>
    <w:rsid w:val="002C45BE"/>
    <w:rsid w:val="002D38FE"/>
    <w:rsid w:val="002D74AC"/>
    <w:rsid w:val="002E012B"/>
    <w:rsid w:val="002E159F"/>
    <w:rsid w:val="002E40C5"/>
    <w:rsid w:val="002E56B4"/>
    <w:rsid w:val="002E62FA"/>
    <w:rsid w:val="002F63B3"/>
    <w:rsid w:val="00303E02"/>
    <w:rsid w:val="00316D5B"/>
    <w:rsid w:val="003219F5"/>
    <w:rsid w:val="00330B09"/>
    <w:rsid w:val="0033196B"/>
    <w:rsid w:val="00340845"/>
    <w:rsid w:val="00341D4E"/>
    <w:rsid w:val="003445DD"/>
    <w:rsid w:val="00360870"/>
    <w:rsid w:val="00362AE8"/>
    <w:rsid w:val="00364345"/>
    <w:rsid w:val="00364C2F"/>
    <w:rsid w:val="00370F93"/>
    <w:rsid w:val="003725DC"/>
    <w:rsid w:val="003739F4"/>
    <w:rsid w:val="003848CD"/>
    <w:rsid w:val="00384F48"/>
    <w:rsid w:val="003906EF"/>
    <w:rsid w:val="003972C6"/>
    <w:rsid w:val="003A0FF9"/>
    <w:rsid w:val="003A217B"/>
    <w:rsid w:val="003B6106"/>
    <w:rsid w:val="003C0AFA"/>
    <w:rsid w:val="003C0E2C"/>
    <w:rsid w:val="003C31B3"/>
    <w:rsid w:val="003C6C97"/>
    <w:rsid w:val="003C7ABB"/>
    <w:rsid w:val="003C7E6B"/>
    <w:rsid w:val="003D0F1B"/>
    <w:rsid w:val="003D345C"/>
    <w:rsid w:val="003D49D9"/>
    <w:rsid w:val="003E2985"/>
    <w:rsid w:val="003E2A2A"/>
    <w:rsid w:val="003E5501"/>
    <w:rsid w:val="003F3FD3"/>
    <w:rsid w:val="003F72B9"/>
    <w:rsid w:val="00400D03"/>
    <w:rsid w:val="00401ED3"/>
    <w:rsid w:val="00404128"/>
    <w:rsid w:val="00410704"/>
    <w:rsid w:val="00412231"/>
    <w:rsid w:val="00412D3F"/>
    <w:rsid w:val="00413B54"/>
    <w:rsid w:val="00414974"/>
    <w:rsid w:val="00417DA4"/>
    <w:rsid w:val="004217E1"/>
    <w:rsid w:val="004226BE"/>
    <w:rsid w:val="00424619"/>
    <w:rsid w:val="00425CEE"/>
    <w:rsid w:val="00437EBC"/>
    <w:rsid w:val="00442B27"/>
    <w:rsid w:val="00445583"/>
    <w:rsid w:val="004513D9"/>
    <w:rsid w:val="00452995"/>
    <w:rsid w:val="00453284"/>
    <w:rsid w:val="004534B4"/>
    <w:rsid w:val="00453500"/>
    <w:rsid w:val="00454C79"/>
    <w:rsid w:val="00460026"/>
    <w:rsid w:val="004650CB"/>
    <w:rsid w:val="0046725A"/>
    <w:rsid w:val="0047772D"/>
    <w:rsid w:val="00491053"/>
    <w:rsid w:val="004942F2"/>
    <w:rsid w:val="00494EE8"/>
    <w:rsid w:val="00495322"/>
    <w:rsid w:val="0049703F"/>
    <w:rsid w:val="00497068"/>
    <w:rsid w:val="004A579D"/>
    <w:rsid w:val="004A5ECE"/>
    <w:rsid w:val="004B4AA9"/>
    <w:rsid w:val="004B6727"/>
    <w:rsid w:val="004D0AC0"/>
    <w:rsid w:val="004D1F70"/>
    <w:rsid w:val="004D6A70"/>
    <w:rsid w:val="004E29BF"/>
    <w:rsid w:val="004E3B0B"/>
    <w:rsid w:val="004E782C"/>
    <w:rsid w:val="004F5394"/>
    <w:rsid w:val="004F616E"/>
    <w:rsid w:val="004F6B85"/>
    <w:rsid w:val="005023CE"/>
    <w:rsid w:val="005052C7"/>
    <w:rsid w:val="0050565D"/>
    <w:rsid w:val="00511B9F"/>
    <w:rsid w:val="005166F1"/>
    <w:rsid w:val="00524A0F"/>
    <w:rsid w:val="00526F57"/>
    <w:rsid w:val="0052728D"/>
    <w:rsid w:val="005361D4"/>
    <w:rsid w:val="00542670"/>
    <w:rsid w:val="00545A5E"/>
    <w:rsid w:val="00550B08"/>
    <w:rsid w:val="00550B5A"/>
    <w:rsid w:val="0055163C"/>
    <w:rsid w:val="00563D3C"/>
    <w:rsid w:val="00564E5C"/>
    <w:rsid w:val="00567B5B"/>
    <w:rsid w:val="0057363B"/>
    <w:rsid w:val="00574583"/>
    <w:rsid w:val="00587E62"/>
    <w:rsid w:val="005911B4"/>
    <w:rsid w:val="00591980"/>
    <w:rsid w:val="00593D8E"/>
    <w:rsid w:val="00596754"/>
    <w:rsid w:val="005A06D6"/>
    <w:rsid w:val="005A2481"/>
    <w:rsid w:val="005B2552"/>
    <w:rsid w:val="005B4040"/>
    <w:rsid w:val="005C0D56"/>
    <w:rsid w:val="005C0F73"/>
    <w:rsid w:val="005C3895"/>
    <w:rsid w:val="005C5CD5"/>
    <w:rsid w:val="005C694C"/>
    <w:rsid w:val="005D2B20"/>
    <w:rsid w:val="005D445D"/>
    <w:rsid w:val="005D5A6E"/>
    <w:rsid w:val="005D6A5E"/>
    <w:rsid w:val="005E1D73"/>
    <w:rsid w:val="005F0FFF"/>
    <w:rsid w:val="005F5182"/>
    <w:rsid w:val="00603CD0"/>
    <w:rsid w:val="00617FB7"/>
    <w:rsid w:val="006203C6"/>
    <w:rsid w:val="00624B6E"/>
    <w:rsid w:val="00624D7C"/>
    <w:rsid w:val="00633AD5"/>
    <w:rsid w:val="00640CD1"/>
    <w:rsid w:val="00641FD2"/>
    <w:rsid w:val="00643424"/>
    <w:rsid w:val="00644B77"/>
    <w:rsid w:val="00646235"/>
    <w:rsid w:val="00646406"/>
    <w:rsid w:val="006513C6"/>
    <w:rsid w:val="006520AB"/>
    <w:rsid w:val="00652BB7"/>
    <w:rsid w:val="006546AE"/>
    <w:rsid w:val="00656A3E"/>
    <w:rsid w:val="0065722B"/>
    <w:rsid w:val="006646D7"/>
    <w:rsid w:val="006647FD"/>
    <w:rsid w:val="00665375"/>
    <w:rsid w:val="00673832"/>
    <w:rsid w:val="00680037"/>
    <w:rsid w:val="00681488"/>
    <w:rsid w:val="0068290F"/>
    <w:rsid w:val="00685E61"/>
    <w:rsid w:val="006866A9"/>
    <w:rsid w:val="00692D58"/>
    <w:rsid w:val="00697A94"/>
    <w:rsid w:val="00697E3E"/>
    <w:rsid w:val="00697F59"/>
    <w:rsid w:val="006A14FA"/>
    <w:rsid w:val="006B0E5A"/>
    <w:rsid w:val="006B20C1"/>
    <w:rsid w:val="006B71C9"/>
    <w:rsid w:val="006C1B71"/>
    <w:rsid w:val="006C1F39"/>
    <w:rsid w:val="006E03CC"/>
    <w:rsid w:val="006E505E"/>
    <w:rsid w:val="006F2FCA"/>
    <w:rsid w:val="006F4B2D"/>
    <w:rsid w:val="006F5B47"/>
    <w:rsid w:val="006F60FD"/>
    <w:rsid w:val="006F617C"/>
    <w:rsid w:val="007014FE"/>
    <w:rsid w:val="007029C5"/>
    <w:rsid w:val="00706C27"/>
    <w:rsid w:val="0070781D"/>
    <w:rsid w:val="00707E5D"/>
    <w:rsid w:val="00711D60"/>
    <w:rsid w:val="00715151"/>
    <w:rsid w:val="0071657F"/>
    <w:rsid w:val="0071661F"/>
    <w:rsid w:val="00717575"/>
    <w:rsid w:val="00722935"/>
    <w:rsid w:val="00722E6A"/>
    <w:rsid w:val="007347F6"/>
    <w:rsid w:val="00734860"/>
    <w:rsid w:val="00736769"/>
    <w:rsid w:val="00742AE1"/>
    <w:rsid w:val="007509F9"/>
    <w:rsid w:val="007517B7"/>
    <w:rsid w:val="00752326"/>
    <w:rsid w:val="00756C53"/>
    <w:rsid w:val="00761269"/>
    <w:rsid w:val="007642FB"/>
    <w:rsid w:val="00774DD4"/>
    <w:rsid w:val="00784A2C"/>
    <w:rsid w:val="007A6E4A"/>
    <w:rsid w:val="007B3C5C"/>
    <w:rsid w:val="007B514C"/>
    <w:rsid w:val="007B6B61"/>
    <w:rsid w:val="007B7756"/>
    <w:rsid w:val="007C1EB9"/>
    <w:rsid w:val="007C4313"/>
    <w:rsid w:val="007C78F7"/>
    <w:rsid w:val="007D4CBA"/>
    <w:rsid w:val="007E24B6"/>
    <w:rsid w:val="007E5540"/>
    <w:rsid w:val="007E751E"/>
    <w:rsid w:val="007F0DF7"/>
    <w:rsid w:val="007F2504"/>
    <w:rsid w:val="007F2D8B"/>
    <w:rsid w:val="007F726C"/>
    <w:rsid w:val="008032FB"/>
    <w:rsid w:val="00805474"/>
    <w:rsid w:val="00805B45"/>
    <w:rsid w:val="00814402"/>
    <w:rsid w:val="00814C39"/>
    <w:rsid w:val="00821B1B"/>
    <w:rsid w:val="00830544"/>
    <w:rsid w:val="00830969"/>
    <w:rsid w:val="00831B39"/>
    <w:rsid w:val="008324D4"/>
    <w:rsid w:val="00835973"/>
    <w:rsid w:val="0083799A"/>
    <w:rsid w:val="00847705"/>
    <w:rsid w:val="00855A25"/>
    <w:rsid w:val="00860DC2"/>
    <w:rsid w:val="00864C1A"/>
    <w:rsid w:val="00872CAD"/>
    <w:rsid w:val="00873170"/>
    <w:rsid w:val="0087390A"/>
    <w:rsid w:val="00874BE1"/>
    <w:rsid w:val="008752C8"/>
    <w:rsid w:val="008766E2"/>
    <w:rsid w:val="00877012"/>
    <w:rsid w:val="008800D6"/>
    <w:rsid w:val="0088019B"/>
    <w:rsid w:val="00883B12"/>
    <w:rsid w:val="00885122"/>
    <w:rsid w:val="008860A0"/>
    <w:rsid w:val="00886E50"/>
    <w:rsid w:val="00892171"/>
    <w:rsid w:val="008924BC"/>
    <w:rsid w:val="008A07D8"/>
    <w:rsid w:val="008B4DC7"/>
    <w:rsid w:val="008B5DDB"/>
    <w:rsid w:val="008C2D58"/>
    <w:rsid w:val="008D3103"/>
    <w:rsid w:val="008D36CC"/>
    <w:rsid w:val="008E3401"/>
    <w:rsid w:val="008E3617"/>
    <w:rsid w:val="008E3F77"/>
    <w:rsid w:val="008F0E94"/>
    <w:rsid w:val="00903763"/>
    <w:rsid w:val="009061B5"/>
    <w:rsid w:val="00907584"/>
    <w:rsid w:val="0091114E"/>
    <w:rsid w:val="00912EB8"/>
    <w:rsid w:val="0092009A"/>
    <w:rsid w:val="00922584"/>
    <w:rsid w:val="00926E19"/>
    <w:rsid w:val="00930DF3"/>
    <w:rsid w:val="009322D2"/>
    <w:rsid w:val="0093590C"/>
    <w:rsid w:val="0094096E"/>
    <w:rsid w:val="00941280"/>
    <w:rsid w:val="0094135E"/>
    <w:rsid w:val="00942F49"/>
    <w:rsid w:val="009431AE"/>
    <w:rsid w:val="00943661"/>
    <w:rsid w:val="00946369"/>
    <w:rsid w:val="00951AEB"/>
    <w:rsid w:val="00952C90"/>
    <w:rsid w:val="00971121"/>
    <w:rsid w:val="009721F9"/>
    <w:rsid w:val="0097274C"/>
    <w:rsid w:val="00980169"/>
    <w:rsid w:val="00981DA4"/>
    <w:rsid w:val="009839BC"/>
    <w:rsid w:val="00985347"/>
    <w:rsid w:val="009A2286"/>
    <w:rsid w:val="009A4E06"/>
    <w:rsid w:val="009A6C88"/>
    <w:rsid w:val="009B353E"/>
    <w:rsid w:val="009B59F8"/>
    <w:rsid w:val="009C0EC6"/>
    <w:rsid w:val="009C1B24"/>
    <w:rsid w:val="009C6873"/>
    <w:rsid w:val="009D1C79"/>
    <w:rsid w:val="009D3DB2"/>
    <w:rsid w:val="009D7D89"/>
    <w:rsid w:val="009E59A4"/>
    <w:rsid w:val="009F018D"/>
    <w:rsid w:val="009F2544"/>
    <w:rsid w:val="009F2A22"/>
    <w:rsid w:val="009F4765"/>
    <w:rsid w:val="009F4B16"/>
    <w:rsid w:val="00A02A4B"/>
    <w:rsid w:val="00A12E60"/>
    <w:rsid w:val="00A17FDE"/>
    <w:rsid w:val="00A23330"/>
    <w:rsid w:val="00A24873"/>
    <w:rsid w:val="00A24C78"/>
    <w:rsid w:val="00A27944"/>
    <w:rsid w:val="00A31EBE"/>
    <w:rsid w:val="00A360BA"/>
    <w:rsid w:val="00A429EF"/>
    <w:rsid w:val="00A47070"/>
    <w:rsid w:val="00A51A4A"/>
    <w:rsid w:val="00A54206"/>
    <w:rsid w:val="00A554B2"/>
    <w:rsid w:val="00A567D0"/>
    <w:rsid w:val="00A5698E"/>
    <w:rsid w:val="00A62C43"/>
    <w:rsid w:val="00A63D4C"/>
    <w:rsid w:val="00A66489"/>
    <w:rsid w:val="00A710A3"/>
    <w:rsid w:val="00A752D7"/>
    <w:rsid w:val="00A8011B"/>
    <w:rsid w:val="00A81DE5"/>
    <w:rsid w:val="00A82ED7"/>
    <w:rsid w:val="00A8706E"/>
    <w:rsid w:val="00AA5671"/>
    <w:rsid w:val="00AB0A1F"/>
    <w:rsid w:val="00AB233B"/>
    <w:rsid w:val="00AB7B50"/>
    <w:rsid w:val="00AC009C"/>
    <w:rsid w:val="00AC1284"/>
    <w:rsid w:val="00AC1849"/>
    <w:rsid w:val="00AC41D0"/>
    <w:rsid w:val="00AD7ED2"/>
    <w:rsid w:val="00AE0D23"/>
    <w:rsid w:val="00AE6515"/>
    <w:rsid w:val="00AF1585"/>
    <w:rsid w:val="00AF1D4D"/>
    <w:rsid w:val="00B02330"/>
    <w:rsid w:val="00B03BDF"/>
    <w:rsid w:val="00B05902"/>
    <w:rsid w:val="00B16F75"/>
    <w:rsid w:val="00B20719"/>
    <w:rsid w:val="00B20F4F"/>
    <w:rsid w:val="00B22FD3"/>
    <w:rsid w:val="00B2330C"/>
    <w:rsid w:val="00B23BD4"/>
    <w:rsid w:val="00B27CDC"/>
    <w:rsid w:val="00B30F69"/>
    <w:rsid w:val="00B32D49"/>
    <w:rsid w:val="00B32F64"/>
    <w:rsid w:val="00B40A20"/>
    <w:rsid w:val="00B45905"/>
    <w:rsid w:val="00B4697F"/>
    <w:rsid w:val="00B52E81"/>
    <w:rsid w:val="00B53737"/>
    <w:rsid w:val="00B542BF"/>
    <w:rsid w:val="00B632B7"/>
    <w:rsid w:val="00B65AB5"/>
    <w:rsid w:val="00B70DB8"/>
    <w:rsid w:val="00B82781"/>
    <w:rsid w:val="00B8565D"/>
    <w:rsid w:val="00B86351"/>
    <w:rsid w:val="00B90C32"/>
    <w:rsid w:val="00B93B2A"/>
    <w:rsid w:val="00BA3399"/>
    <w:rsid w:val="00BB16F0"/>
    <w:rsid w:val="00BB2ABE"/>
    <w:rsid w:val="00BB2FF3"/>
    <w:rsid w:val="00BB6168"/>
    <w:rsid w:val="00BC0DE2"/>
    <w:rsid w:val="00BC4188"/>
    <w:rsid w:val="00BC6A3C"/>
    <w:rsid w:val="00BD3106"/>
    <w:rsid w:val="00BE24B8"/>
    <w:rsid w:val="00BE33BF"/>
    <w:rsid w:val="00BE6671"/>
    <w:rsid w:val="00BE678F"/>
    <w:rsid w:val="00BE7A44"/>
    <w:rsid w:val="00BF197D"/>
    <w:rsid w:val="00BF2A19"/>
    <w:rsid w:val="00BF3E9E"/>
    <w:rsid w:val="00BF5EF9"/>
    <w:rsid w:val="00BF7812"/>
    <w:rsid w:val="00C02088"/>
    <w:rsid w:val="00C0237B"/>
    <w:rsid w:val="00C02F7D"/>
    <w:rsid w:val="00C03047"/>
    <w:rsid w:val="00C0328C"/>
    <w:rsid w:val="00C03E0C"/>
    <w:rsid w:val="00C100DA"/>
    <w:rsid w:val="00C10234"/>
    <w:rsid w:val="00C118C8"/>
    <w:rsid w:val="00C14045"/>
    <w:rsid w:val="00C159F3"/>
    <w:rsid w:val="00C165F4"/>
    <w:rsid w:val="00C1769B"/>
    <w:rsid w:val="00C208FC"/>
    <w:rsid w:val="00C2238F"/>
    <w:rsid w:val="00C251AF"/>
    <w:rsid w:val="00C26B49"/>
    <w:rsid w:val="00C443AA"/>
    <w:rsid w:val="00C47DF6"/>
    <w:rsid w:val="00C5249D"/>
    <w:rsid w:val="00C530B5"/>
    <w:rsid w:val="00C554D0"/>
    <w:rsid w:val="00C568BA"/>
    <w:rsid w:val="00C6304C"/>
    <w:rsid w:val="00C640FE"/>
    <w:rsid w:val="00C64DC7"/>
    <w:rsid w:val="00C76307"/>
    <w:rsid w:val="00C82EF0"/>
    <w:rsid w:val="00C85679"/>
    <w:rsid w:val="00C86E54"/>
    <w:rsid w:val="00C8767D"/>
    <w:rsid w:val="00C94ED7"/>
    <w:rsid w:val="00C966DB"/>
    <w:rsid w:val="00CA190B"/>
    <w:rsid w:val="00CA37AD"/>
    <w:rsid w:val="00CA7CDD"/>
    <w:rsid w:val="00CB04C1"/>
    <w:rsid w:val="00CB09A6"/>
    <w:rsid w:val="00CB2E10"/>
    <w:rsid w:val="00CB3621"/>
    <w:rsid w:val="00CB69F2"/>
    <w:rsid w:val="00CB7A8E"/>
    <w:rsid w:val="00CB7D8C"/>
    <w:rsid w:val="00CC0A62"/>
    <w:rsid w:val="00CC46AF"/>
    <w:rsid w:val="00CC4751"/>
    <w:rsid w:val="00CD1703"/>
    <w:rsid w:val="00CD35FD"/>
    <w:rsid w:val="00CD52BF"/>
    <w:rsid w:val="00CD5A5C"/>
    <w:rsid w:val="00CD76C5"/>
    <w:rsid w:val="00CD7C6E"/>
    <w:rsid w:val="00CE0ABD"/>
    <w:rsid w:val="00CE1EEA"/>
    <w:rsid w:val="00CE27CC"/>
    <w:rsid w:val="00CE69FC"/>
    <w:rsid w:val="00CF081D"/>
    <w:rsid w:val="00CF2A4C"/>
    <w:rsid w:val="00D02813"/>
    <w:rsid w:val="00D053A6"/>
    <w:rsid w:val="00D056F3"/>
    <w:rsid w:val="00D14070"/>
    <w:rsid w:val="00D14AAB"/>
    <w:rsid w:val="00D1761F"/>
    <w:rsid w:val="00D2121D"/>
    <w:rsid w:val="00D32D6E"/>
    <w:rsid w:val="00D36EB7"/>
    <w:rsid w:val="00D45617"/>
    <w:rsid w:val="00D472CB"/>
    <w:rsid w:val="00D505ED"/>
    <w:rsid w:val="00D55D48"/>
    <w:rsid w:val="00D55D93"/>
    <w:rsid w:val="00D5705E"/>
    <w:rsid w:val="00D651D4"/>
    <w:rsid w:val="00D65C05"/>
    <w:rsid w:val="00D72415"/>
    <w:rsid w:val="00D7747C"/>
    <w:rsid w:val="00D8136A"/>
    <w:rsid w:val="00D835FA"/>
    <w:rsid w:val="00D94424"/>
    <w:rsid w:val="00DA6B7F"/>
    <w:rsid w:val="00DA7355"/>
    <w:rsid w:val="00DB0EC0"/>
    <w:rsid w:val="00DB53FF"/>
    <w:rsid w:val="00DC46B9"/>
    <w:rsid w:val="00DC578B"/>
    <w:rsid w:val="00DC641F"/>
    <w:rsid w:val="00DC6E9D"/>
    <w:rsid w:val="00DD6F74"/>
    <w:rsid w:val="00DD7BAF"/>
    <w:rsid w:val="00DE1182"/>
    <w:rsid w:val="00DE508E"/>
    <w:rsid w:val="00DE568C"/>
    <w:rsid w:val="00DE5B5E"/>
    <w:rsid w:val="00DE61CC"/>
    <w:rsid w:val="00DF02FD"/>
    <w:rsid w:val="00DF0BB0"/>
    <w:rsid w:val="00DF20F8"/>
    <w:rsid w:val="00DF313F"/>
    <w:rsid w:val="00DF6C72"/>
    <w:rsid w:val="00E003D6"/>
    <w:rsid w:val="00E01532"/>
    <w:rsid w:val="00E01753"/>
    <w:rsid w:val="00E017D6"/>
    <w:rsid w:val="00E05632"/>
    <w:rsid w:val="00E067DA"/>
    <w:rsid w:val="00E06C8A"/>
    <w:rsid w:val="00E12479"/>
    <w:rsid w:val="00E1374A"/>
    <w:rsid w:val="00E16C16"/>
    <w:rsid w:val="00E30F74"/>
    <w:rsid w:val="00E32EF5"/>
    <w:rsid w:val="00E43809"/>
    <w:rsid w:val="00E45DB1"/>
    <w:rsid w:val="00E5017E"/>
    <w:rsid w:val="00E503AE"/>
    <w:rsid w:val="00E566EB"/>
    <w:rsid w:val="00E61E00"/>
    <w:rsid w:val="00E6465C"/>
    <w:rsid w:val="00E7383E"/>
    <w:rsid w:val="00E776D7"/>
    <w:rsid w:val="00E803FF"/>
    <w:rsid w:val="00E805A4"/>
    <w:rsid w:val="00E80D45"/>
    <w:rsid w:val="00E81A5A"/>
    <w:rsid w:val="00E8344A"/>
    <w:rsid w:val="00E8478F"/>
    <w:rsid w:val="00E84B2B"/>
    <w:rsid w:val="00E868B8"/>
    <w:rsid w:val="00E90125"/>
    <w:rsid w:val="00E92561"/>
    <w:rsid w:val="00E94123"/>
    <w:rsid w:val="00EA6BB4"/>
    <w:rsid w:val="00EB3109"/>
    <w:rsid w:val="00EC08DF"/>
    <w:rsid w:val="00EC272B"/>
    <w:rsid w:val="00EC2ADE"/>
    <w:rsid w:val="00EC52FB"/>
    <w:rsid w:val="00ED013A"/>
    <w:rsid w:val="00ED4577"/>
    <w:rsid w:val="00ED6F0B"/>
    <w:rsid w:val="00ED73FB"/>
    <w:rsid w:val="00ED7DD6"/>
    <w:rsid w:val="00EE53A2"/>
    <w:rsid w:val="00F00F46"/>
    <w:rsid w:val="00F1256B"/>
    <w:rsid w:val="00F13ADC"/>
    <w:rsid w:val="00F13BE4"/>
    <w:rsid w:val="00F33631"/>
    <w:rsid w:val="00F35115"/>
    <w:rsid w:val="00F35452"/>
    <w:rsid w:val="00F408DC"/>
    <w:rsid w:val="00F41ED2"/>
    <w:rsid w:val="00F461FA"/>
    <w:rsid w:val="00F507B9"/>
    <w:rsid w:val="00F54FA4"/>
    <w:rsid w:val="00F5740A"/>
    <w:rsid w:val="00F7027C"/>
    <w:rsid w:val="00F72DBD"/>
    <w:rsid w:val="00F7517E"/>
    <w:rsid w:val="00F7538A"/>
    <w:rsid w:val="00F8529D"/>
    <w:rsid w:val="00F912B0"/>
    <w:rsid w:val="00F967A7"/>
    <w:rsid w:val="00FA0E64"/>
    <w:rsid w:val="00FA11BC"/>
    <w:rsid w:val="00FA3961"/>
    <w:rsid w:val="00FB085E"/>
    <w:rsid w:val="00FB2223"/>
    <w:rsid w:val="00FB51FA"/>
    <w:rsid w:val="00FC4C6C"/>
    <w:rsid w:val="00FD09EB"/>
    <w:rsid w:val="00FD4E75"/>
    <w:rsid w:val="00FD5769"/>
    <w:rsid w:val="00FE0CBE"/>
    <w:rsid w:val="00FE39EE"/>
    <w:rsid w:val="00FE649E"/>
    <w:rsid w:val="00FF2860"/>
    <w:rsid w:val="00FF798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782C"/>
    <w:pPr>
      <w:spacing w:after="160"/>
      <w:jc w:val="both"/>
    </w:pPr>
    <w:rPr>
      <w:rFonts w:ascii="Times New Roman" w:eastAsiaTheme="minorEastAsia" w:hAnsi="Times New Roman"/>
      <w:sz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E782C"/>
    <w:pPr>
      <w:tabs>
        <w:tab w:val="center" w:pos="4153"/>
        <w:tab w:val="right" w:pos="8306"/>
      </w:tabs>
      <w:spacing w:after="0" w:line="240" w:lineRule="auto"/>
    </w:pPr>
  </w:style>
  <w:style w:type="character" w:customStyle="1" w:styleId="En-tteCar">
    <w:name w:val="En-tête Car"/>
    <w:basedOn w:val="Policepardfaut"/>
    <w:link w:val="En-tte"/>
    <w:uiPriority w:val="99"/>
    <w:rsid w:val="004E782C"/>
    <w:rPr>
      <w:rFonts w:ascii="Times New Roman" w:eastAsiaTheme="minorEastAsia" w:hAnsi="Times New Roman"/>
      <w:sz w:val="24"/>
      <w:lang w:eastAsia="fr-FR"/>
    </w:rPr>
  </w:style>
  <w:style w:type="paragraph" w:styleId="Pieddepage">
    <w:name w:val="footer"/>
    <w:basedOn w:val="Normal"/>
    <w:link w:val="PieddepageCar"/>
    <w:uiPriority w:val="99"/>
    <w:unhideWhenUsed/>
    <w:rsid w:val="004E782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E782C"/>
    <w:rPr>
      <w:rFonts w:ascii="Times New Roman" w:eastAsiaTheme="minorEastAsia" w:hAnsi="Times New Roman"/>
      <w:sz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782C"/>
    <w:pPr>
      <w:spacing w:after="160"/>
      <w:jc w:val="both"/>
    </w:pPr>
    <w:rPr>
      <w:rFonts w:ascii="Times New Roman" w:eastAsiaTheme="minorEastAsia" w:hAnsi="Times New Roman"/>
      <w:sz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E782C"/>
    <w:pPr>
      <w:tabs>
        <w:tab w:val="center" w:pos="4153"/>
        <w:tab w:val="right" w:pos="8306"/>
      </w:tabs>
      <w:spacing w:after="0" w:line="240" w:lineRule="auto"/>
    </w:pPr>
  </w:style>
  <w:style w:type="character" w:customStyle="1" w:styleId="En-tteCar">
    <w:name w:val="En-tête Car"/>
    <w:basedOn w:val="Policepardfaut"/>
    <w:link w:val="En-tte"/>
    <w:uiPriority w:val="99"/>
    <w:rsid w:val="004E782C"/>
    <w:rPr>
      <w:rFonts w:ascii="Times New Roman" w:eastAsiaTheme="minorEastAsia" w:hAnsi="Times New Roman"/>
      <w:sz w:val="24"/>
      <w:lang w:eastAsia="fr-FR"/>
    </w:rPr>
  </w:style>
  <w:style w:type="paragraph" w:styleId="Pieddepage">
    <w:name w:val="footer"/>
    <w:basedOn w:val="Normal"/>
    <w:link w:val="PieddepageCar"/>
    <w:uiPriority w:val="99"/>
    <w:unhideWhenUsed/>
    <w:rsid w:val="004E782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E782C"/>
    <w:rPr>
      <w:rFonts w:ascii="Times New Roman" w:eastAsiaTheme="minorEastAsia" w:hAnsi="Times New Roman"/>
      <w:sz w:val="24"/>
      <w:lang w:eastAsia="fr-FR"/>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436</Words>
  <Characters>2399</Characters>
  <Application>Microsoft Office Word</Application>
  <DocSecurity>0</DocSecurity>
  <Lines>19</Lines>
  <Paragraphs>5</Paragraphs>
  <ScaleCrop>false</ScaleCrop>
  <Company/>
  <LinksUpToDate>false</LinksUpToDate>
  <CharactersWithSpaces>2830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naima</cp:lastModifiedBy>
  <cp:revision>17</cp:revision>
  <dcterms:created xsi:type="dcterms:W3CDTF">2017-02-10T15:01:00Z</dcterms:created>
  <dcterms:modified xsi:type="dcterms:W3CDTF">2017-06-14T09:44:00Z</dcterms:modified>
</cp:coreProperties>
</file>