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28A" w:rsidRPr="0004628A" w:rsidRDefault="0004628A" w:rsidP="0004628A">
      <w:pPr>
        <w:bidi w:val="0"/>
        <w:rPr>
          <w:lang w:val="fr-FR" w:bidi="ar-DZ"/>
        </w:rPr>
      </w:pPr>
      <w:r w:rsidRPr="0004628A">
        <w:rPr>
          <w:lang w:val="fr-FR" w:bidi="ar-DZ"/>
        </w:rPr>
        <w:t>Nous nous sommes intéressés à l'analyse qualitative et quantitative par chromatographie en phase gazeuse couplée à la spectrométrie de masse (CG/SM) des hydrocarbures aliphatiques et des hydrocarbures aromatiques polycycliques (HAPs) dans des sites résidentiel, industriel et périurbain.</w:t>
      </w:r>
    </w:p>
    <w:p w:rsidR="0004628A" w:rsidRPr="0004628A" w:rsidRDefault="0004628A" w:rsidP="0004628A">
      <w:pPr>
        <w:bidi w:val="0"/>
        <w:rPr>
          <w:lang w:val="fr-FR" w:bidi="ar-DZ"/>
        </w:rPr>
      </w:pPr>
      <w:r w:rsidRPr="0004628A">
        <w:rPr>
          <w:lang w:val="fr-FR" w:bidi="ar-DZ"/>
        </w:rPr>
        <w:t xml:space="preserve">Les particules en suspension dans l'air ont été étudiées dans deux classes granulométriques : particules totales (TSP : Total Suspended Particles) et particules de diamètre inférieur à 10 um (PM10). Leurs évolutions diurnes et nocturnes, journalières et saisonnières ont été également suivies. </w:t>
      </w:r>
    </w:p>
    <w:p w:rsidR="0004628A" w:rsidRPr="0004628A" w:rsidRDefault="0004628A" w:rsidP="0004628A">
      <w:pPr>
        <w:bidi w:val="0"/>
        <w:rPr>
          <w:lang w:val="fr-FR" w:bidi="ar-DZ"/>
        </w:rPr>
      </w:pPr>
      <w:r w:rsidRPr="0004628A">
        <w:rPr>
          <w:lang w:val="fr-FR" w:bidi="ar-DZ"/>
        </w:rPr>
        <w:t xml:space="preserve">Plus de 40 composés organiques particulaires présents dans la fraction inhalable de l'aérosol (PM10) ont pu être identifiés et quantifiés lors des campagnes d'échantillonnage menées dans plusieurs sites algérois. L'impact de ces polluants sur la santé humaine a été examiné en utilisant le BaPE "Benzo[a]pyrène-equivalent carcinogenic power" (le pouvoir cancérigène équivalent au benzo[a]pyrène) qui s'est avéré être  un indicateur de choix pour évaluer le pouvoir cancérigène des aérosols en tenant compte des HAPs les plus toxiques. Les profiles de distribution combinés avec les rapports diagnostiques (CPI, Wax, OEP, rapports entre HAPs) ont révélé que le trafic routier est la source principale d'émission de ces particules. </w:t>
      </w:r>
    </w:p>
    <w:p w:rsidR="0004628A" w:rsidRPr="0004628A" w:rsidRDefault="0004628A" w:rsidP="0004628A">
      <w:pPr>
        <w:bidi w:val="0"/>
        <w:rPr>
          <w:lang w:val="fr-FR" w:bidi="ar-DZ"/>
        </w:rPr>
      </w:pPr>
      <w:r w:rsidRPr="0004628A">
        <w:rPr>
          <w:lang w:val="fr-FR" w:bidi="ar-DZ"/>
        </w:rPr>
        <w:t>Enfin, les HAPs ont été étudiés dans l'air à l'intérieur et à l'extérieur de la Cité Université de Bab-Ezzouar (CUB3) afin d'évaluer les risques d'exposition à ces polluants toxiques. L'évolution de 19 HAPs gazeux a été suivie durant la période allant de Janvier 2010 à Juin 2010 et a montré que leurs teneurs sont supérieurs à celles mesurées à l'air ambiant.</w:t>
      </w:r>
    </w:p>
    <w:p w:rsidR="00CE4F0A" w:rsidRPr="0004628A" w:rsidRDefault="00CE4F0A" w:rsidP="0004628A">
      <w:pPr>
        <w:bidi w:val="0"/>
        <w:rPr>
          <w:rFonts w:hint="cs"/>
          <w:lang w:val="fr-FR" w:bidi="ar-DZ"/>
        </w:rPr>
      </w:pPr>
    </w:p>
    <w:sectPr w:rsidR="00CE4F0A" w:rsidRPr="0004628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4628A"/>
    <w:rsid w:val="0004628A"/>
    <w:rsid w:val="005F47AF"/>
    <w:rsid w:val="00CE4F0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4F0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250</Words>
  <Characters>1426</Characters>
  <Application>Microsoft Office Word</Application>
  <DocSecurity>0</DocSecurity>
  <Lines>11</Lines>
  <Paragraphs>3</Paragraphs>
  <ScaleCrop>false</ScaleCrop>
  <Company/>
  <LinksUpToDate>false</LinksUpToDate>
  <CharactersWithSpaces>1673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2015-06-08T13:43:00Z</dcterms:created>
  <dcterms:modified xsi:type="dcterms:W3CDTF">2015-06-08T13:43:00Z</dcterms:modified>
</cp:coreProperties>
</file>