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127A" w:rsidRPr="0013127A" w:rsidRDefault="0013127A" w:rsidP="0013127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13127A">
        <w:rPr>
          <w:rFonts w:asciiTheme="majorBidi" w:hAnsiTheme="majorBidi" w:cstheme="majorBidi"/>
          <w:b/>
          <w:bCs/>
          <w:sz w:val="28"/>
          <w:szCs w:val="28"/>
        </w:rPr>
        <w:t xml:space="preserve">Contribution de la complexation </w:t>
      </w:r>
      <w:r w:rsidRPr="0013127A">
        <w:rPr>
          <w:rFonts w:asciiTheme="majorBidi" w:hAnsiTheme="majorBidi" w:cstheme="majorBidi"/>
          <w:b/>
          <w:bCs/>
          <w:color w:val="000000"/>
          <w:sz w:val="28"/>
          <w:szCs w:val="28"/>
        </w:rPr>
        <w:t>à</w:t>
      </w:r>
      <w:r w:rsidRPr="0013127A">
        <w:rPr>
          <w:rFonts w:asciiTheme="majorBidi" w:hAnsiTheme="majorBidi" w:cstheme="majorBidi"/>
          <w:b/>
          <w:bCs/>
          <w:sz w:val="28"/>
          <w:szCs w:val="28"/>
        </w:rPr>
        <w:t xml:space="preserve"> l’activité biologique d’une série de ligands hétérocycliques d’intérêt pharmaceutique.</w:t>
      </w:r>
    </w:p>
    <w:p w:rsidR="0013127A" w:rsidRPr="00B97893" w:rsidRDefault="0013127A" w:rsidP="004F1927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FF0000"/>
          <w:sz w:val="24"/>
          <w:szCs w:val="24"/>
        </w:rPr>
      </w:pPr>
      <w:r w:rsidRPr="00B97893">
        <w:rPr>
          <w:rFonts w:asciiTheme="majorBidi" w:hAnsiTheme="majorBidi" w:cstheme="majorBidi"/>
          <w:sz w:val="24"/>
          <w:szCs w:val="24"/>
        </w:rPr>
        <w:t>On s’est proposé d’étudier dans ce prése</w:t>
      </w:r>
      <w:r>
        <w:rPr>
          <w:rFonts w:asciiTheme="majorBidi" w:hAnsiTheme="majorBidi" w:cstheme="majorBidi"/>
          <w:sz w:val="24"/>
          <w:szCs w:val="24"/>
        </w:rPr>
        <w:t xml:space="preserve">nt travail  la complexation de  deux </w:t>
      </w:r>
      <w:r w:rsidRPr="00B97893">
        <w:rPr>
          <w:rFonts w:asciiTheme="majorBidi" w:hAnsiTheme="majorBidi" w:cstheme="majorBidi"/>
          <w:sz w:val="24"/>
          <w:szCs w:val="24"/>
        </w:rPr>
        <w:t xml:space="preserve"> ligand</w:t>
      </w:r>
      <w:r>
        <w:rPr>
          <w:rFonts w:asciiTheme="majorBidi" w:hAnsiTheme="majorBidi" w:cstheme="majorBidi"/>
          <w:sz w:val="24"/>
          <w:szCs w:val="24"/>
        </w:rPr>
        <w:t>s</w:t>
      </w:r>
      <w:r w:rsidRPr="00B97893">
        <w:rPr>
          <w:rFonts w:asciiTheme="majorBidi" w:hAnsiTheme="majorBidi" w:cstheme="majorBidi"/>
          <w:sz w:val="24"/>
          <w:szCs w:val="24"/>
        </w:rPr>
        <w:t xml:space="preserve"> dérivé</w:t>
      </w:r>
      <w:r>
        <w:rPr>
          <w:rFonts w:asciiTheme="majorBidi" w:hAnsiTheme="majorBidi" w:cstheme="majorBidi"/>
          <w:sz w:val="24"/>
          <w:szCs w:val="24"/>
        </w:rPr>
        <w:t>benz</w:t>
      </w:r>
      <w:r w:rsidRPr="00B97893">
        <w:rPr>
          <w:rFonts w:asciiTheme="majorBidi" w:hAnsiTheme="majorBidi" w:cstheme="majorBidi"/>
          <w:sz w:val="24"/>
          <w:szCs w:val="24"/>
        </w:rPr>
        <w:t>oxazole et deux  ligands commerciaux ; l’un dérivé sulfamide et l’autre dérivé imidazole,  ave</w:t>
      </w:r>
      <w:r>
        <w:rPr>
          <w:rFonts w:asciiTheme="majorBidi" w:hAnsiTheme="majorBidi" w:cstheme="majorBidi"/>
          <w:sz w:val="24"/>
          <w:szCs w:val="24"/>
        </w:rPr>
        <w:t xml:space="preserve">c le manganèse (II), fer (II), nickel(II) et </w:t>
      </w:r>
      <w:r w:rsidRPr="00B97893">
        <w:rPr>
          <w:rFonts w:asciiTheme="majorBidi" w:hAnsiTheme="majorBidi" w:cstheme="majorBidi"/>
          <w:sz w:val="24"/>
          <w:szCs w:val="24"/>
        </w:rPr>
        <w:t>cuivre (II) ainsi que leurs activités biologiques</w:t>
      </w:r>
      <w:r w:rsidRPr="00B97893">
        <w:rPr>
          <w:rFonts w:asciiTheme="majorBidi" w:hAnsiTheme="majorBidi" w:cstheme="majorBidi"/>
          <w:color w:val="FF0000"/>
          <w:sz w:val="24"/>
          <w:szCs w:val="24"/>
        </w:rPr>
        <w:t xml:space="preserve">. </w:t>
      </w:r>
    </w:p>
    <w:p w:rsidR="0013127A" w:rsidRDefault="0013127A" w:rsidP="004F192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97893">
        <w:rPr>
          <w:rFonts w:asciiTheme="majorBidi" w:hAnsiTheme="majorBidi" w:cstheme="majorBidi"/>
          <w:sz w:val="24"/>
          <w:szCs w:val="24"/>
        </w:rPr>
        <w:t>Dans ce contexte, une caractérisation des ligands</w:t>
      </w:r>
      <w:r>
        <w:rPr>
          <w:rFonts w:asciiTheme="majorBidi" w:hAnsiTheme="majorBidi" w:cstheme="majorBidi"/>
          <w:sz w:val="24"/>
          <w:szCs w:val="24"/>
        </w:rPr>
        <w:t xml:space="preserve"> synthétisés</w:t>
      </w:r>
      <w:r w:rsidRPr="00B97893">
        <w:rPr>
          <w:rFonts w:asciiTheme="majorBidi" w:hAnsiTheme="majorBidi" w:cstheme="majorBidi"/>
          <w:sz w:val="24"/>
          <w:szCs w:val="24"/>
        </w:rPr>
        <w:t xml:space="preserve"> a  été réalisée dans une première partie par  spectrométrie IR, RMN-</w:t>
      </w:r>
      <w:r w:rsidRPr="00B97893">
        <w:rPr>
          <w:rFonts w:asciiTheme="majorBidi" w:hAnsiTheme="majorBidi" w:cstheme="majorBidi"/>
          <w:sz w:val="24"/>
          <w:szCs w:val="24"/>
          <w:vertAlign w:val="superscript"/>
        </w:rPr>
        <w:t>1</w:t>
      </w:r>
      <w:r w:rsidRPr="00B97893">
        <w:rPr>
          <w:rFonts w:asciiTheme="majorBidi" w:hAnsiTheme="majorBidi" w:cstheme="majorBidi"/>
          <w:sz w:val="24"/>
          <w:szCs w:val="24"/>
        </w:rPr>
        <w:t xml:space="preserve">H,UV- Visible, chromatographie </w:t>
      </w:r>
      <w:r>
        <w:rPr>
          <w:rFonts w:asciiTheme="majorBidi" w:hAnsiTheme="majorBidi" w:cstheme="majorBidi"/>
          <w:sz w:val="24"/>
          <w:szCs w:val="24"/>
        </w:rPr>
        <w:t>GC-masse.</w:t>
      </w:r>
    </w:p>
    <w:p w:rsidR="0013127A" w:rsidRDefault="0013127A" w:rsidP="004F192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97893">
        <w:rPr>
          <w:rFonts w:asciiTheme="majorBidi" w:hAnsiTheme="majorBidi" w:cstheme="majorBidi"/>
          <w:sz w:val="24"/>
          <w:szCs w:val="24"/>
        </w:rPr>
        <w:t xml:space="preserve">La deuxième partie du travail </w:t>
      </w:r>
      <w:r w:rsidRPr="006170C1">
        <w:rPr>
          <w:rFonts w:ascii="Times New Roman" w:eastAsia="Times New Roman" w:hAnsi="Times New Roman" w:cs="Times New Roman"/>
          <w:sz w:val="24"/>
          <w:szCs w:val="24"/>
        </w:rPr>
        <w:t>on a abordé l’étude par potentiométrie de la formation en solution des complexes de</w:t>
      </w:r>
      <w:r w:rsidR="008121A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manganèse (II), fer (II), nickel(II) et cuivre (II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 w:rsidRPr="006170C1">
        <w:rPr>
          <w:rFonts w:ascii="Times New Roman" w:eastAsia="Times New Roman" w:hAnsi="Times New Roman" w:cs="Times New Roman"/>
          <w:sz w:val="24"/>
          <w:szCs w:val="24"/>
        </w:rPr>
        <w:t xml:space="preserve"> ainsi que la détermination de leurs constantes de stabilité.</w:t>
      </w:r>
    </w:p>
    <w:p w:rsidR="0013127A" w:rsidRDefault="0013127A" w:rsidP="004F192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La troisième</w:t>
      </w:r>
      <w:r w:rsidRPr="00B97893">
        <w:rPr>
          <w:rFonts w:asciiTheme="majorBidi" w:hAnsiTheme="majorBidi" w:cstheme="majorBidi"/>
          <w:sz w:val="24"/>
          <w:szCs w:val="24"/>
        </w:rPr>
        <w:t xml:space="preserve"> partie du travail a été consacrée à la synthèse des complexes à l’état solide. Ils ont été caractérisés par analyse élémentaire, conductimétrie, </w:t>
      </w:r>
      <w:r>
        <w:rPr>
          <w:rFonts w:asciiTheme="majorBidi" w:hAnsiTheme="majorBidi" w:cstheme="majorBidi"/>
          <w:sz w:val="24"/>
          <w:szCs w:val="24"/>
        </w:rPr>
        <w:t xml:space="preserve">mesure magnétique, </w:t>
      </w:r>
      <w:r w:rsidRPr="00B97893">
        <w:rPr>
          <w:rFonts w:asciiTheme="majorBidi" w:hAnsiTheme="majorBidi" w:cstheme="majorBidi"/>
          <w:sz w:val="24"/>
          <w:szCs w:val="24"/>
        </w:rPr>
        <w:t>spectrométrie IR, RMN-</w:t>
      </w:r>
      <w:r w:rsidRPr="00B97893">
        <w:rPr>
          <w:rFonts w:asciiTheme="majorBidi" w:hAnsiTheme="majorBidi" w:cstheme="majorBidi"/>
          <w:sz w:val="24"/>
          <w:szCs w:val="24"/>
          <w:vertAlign w:val="superscript"/>
        </w:rPr>
        <w:t>1</w:t>
      </w:r>
      <w:r>
        <w:rPr>
          <w:rFonts w:asciiTheme="majorBidi" w:hAnsiTheme="majorBidi" w:cstheme="majorBidi"/>
          <w:sz w:val="24"/>
          <w:szCs w:val="24"/>
        </w:rPr>
        <w:t xml:space="preserve">H, RPE </w:t>
      </w:r>
      <w:r w:rsidRPr="00B97893">
        <w:rPr>
          <w:rFonts w:asciiTheme="majorBidi" w:hAnsiTheme="majorBidi" w:cstheme="majorBidi"/>
          <w:sz w:val="24"/>
          <w:szCs w:val="24"/>
        </w:rPr>
        <w:t xml:space="preserve">et UV- Visible. </w:t>
      </w:r>
    </w:p>
    <w:p w:rsidR="0013127A" w:rsidRPr="00B97893" w:rsidRDefault="0013127A" w:rsidP="004F1927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97893">
        <w:rPr>
          <w:rFonts w:asciiTheme="majorBidi" w:hAnsiTheme="majorBidi" w:cstheme="majorBidi"/>
          <w:sz w:val="24"/>
          <w:szCs w:val="24"/>
        </w:rPr>
        <w:t>La spectrométrie IR a permis de déduire le mode de coor</w:t>
      </w:r>
      <w:r>
        <w:rPr>
          <w:rFonts w:asciiTheme="majorBidi" w:hAnsiTheme="majorBidi" w:cstheme="majorBidi"/>
          <w:sz w:val="24"/>
          <w:szCs w:val="24"/>
        </w:rPr>
        <w:t xml:space="preserve">dination des ligands ; les deux </w:t>
      </w:r>
      <w:r w:rsidRPr="00B97893">
        <w:rPr>
          <w:rFonts w:asciiTheme="majorBidi" w:hAnsiTheme="majorBidi" w:cstheme="majorBidi"/>
          <w:sz w:val="24"/>
          <w:szCs w:val="24"/>
        </w:rPr>
        <w:t>ligands</w:t>
      </w:r>
      <w:r>
        <w:rPr>
          <w:rFonts w:asciiTheme="majorBidi" w:hAnsiTheme="majorBidi" w:cstheme="majorBidi"/>
          <w:sz w:val="24"/>
          <w:szCs w:val="24"/>
        </w:rPr>
        <w:t xml:space="preserve"> dérivés benzoxazole et le ligand sulfamide</w:t>
      </w:r>
      <w:r w:rsidRPr="00B97893">
        <w:rPr>
          <w:rFonts w:asciiTheme="majorBidi" w:hAnsiTheme="majorBidi" w:cstheme="majorBidi"/>
          <w:sz w:val="24"/>
          <w:szCs w:val="24"/>
        </w:rPr>
        <w:t xml:space="preserve"> se lient d’une manière bidentate à travers les  atomes </w:t>
      </w:r>
      <w:r>
        <w:rPr>
          <w:rFonts w:asciiTheme="majorBidi" w:hAnsiTheme="majorBidi" w:cstheme="majorBidi"/>
          <w:sz w:val="24"/>
          <w:szCs w:val="24"/>
        </w:rPr>
        <w:t>d’azote tandis que le ligand imidazole</w:t>
      </w:r>
      <w:r w:rsidRPr="00B97893">
        <w:rPr>
          <w:rFonts w:asciiTheme="majorBidi" w:hAnsiTheme="majorBidi" w:cstheme="majorBidi"/>
          <w:sz w:val="24"/>
          <w:szCs w:val="24"/>
        </w:rPr>
        <w:t xml:space="preserve"> se lie d’une manière monodentate  par l’atome N du cycle imidazole.</w:t>
      </w:r>
      <w:r w:rsidR="00531D4C">
        <w:rPr>
          <w:rFonts w:asciiTheme="majorBidi" w:hAnsiTheme="majorBidi" w:cstheme="majorBidi"/>
          <w:sz w:val="24"/>
          <w:szCs w:val="24"/>
        </w:rPr>
        <w:t xml:space="preserve"> </w:t>
      </w:r>
      <w:r w:rsidRPr="00B97893">
        <w:rPr>
          <w:rFonts w:asciiTheme="majorBidi" w:hAnsiTheme="majorBidi" w:cstheme="majorBidi"/>
          <w:sz w:val="24"/>
          <w:szCs w:val="24"/>
        </w:rPr>
        <w:t>La spectrophotométrie UV-Visible nous a permis de déterminer l’environnement autour de l’ion central et que les ions</w:t>
      </w:r>
      <w:r>
        <w:rPr>
          <w:rFonts w:asciiTheme="majorBidi" w:hAnsiTheme="majorBidi" w:cstheme="majorBidi"/>
          <w:sz w:val="24"/>
          <w:szCs w:val="24"/>
        </w:rPr>
        <w:t xml:space="preserve"> métalliques Mn (II), Fe (II) Ni (II) et</w:t>
      </w:r>
      <w:r w:rsidRPr="00B97893">
        <w:rPr>
          <w:rFonts w:asciiTheme="majorBidi" w:hAnsiTheme="majorBidi" w:cstheme="majorBidi"/>
          <w:sz w:val="24"/>
          <w:szCs w:val="24"/>
        </w:rPr>
        <w:t xml:space="preserve"> Cu (II) adoptent une géométrie octaédrique.</w:t>
      </w:r>
    </w:p>
    <w:p w:rsidR="0013127A" w:rsidRPr="003C2446" w:rsidRDefault="0013127A" w:rsidP="004F1927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i/>
          <w:iCs/>
        </w:rPr>
      </w:pPr>
      <w:r w:rsidRPr="003C2446">
        <w:rPr>
          <w:rFonts w:asciiTheme="majorBidi" w:hAnsiTheme="majorBidi" w:cstheme="majorBidi"/>
          <w:sz w:val="24"/>
          <w:szCs w:val="24"/>
        </w:rPr>
        <w:t xml:space="preserve">La </w:t>
      </w:r>
      <w:r>
        <w:rPr>
          <w:rFonts w:asciiTheme="majorBidi" w:hAnsiTheme="majorBidi" w:cstheme="majorBidi"/>
          <w:sz w:val="24"/>
          <w:szCs w:val="24"/>
        </w:rPr>
        <w:t xml:space="preserve">quatrième </w:t>
      </w:r>
      <w:r w:rsidRPr="003C2446">
        <w:rPr>
          <w:rFonts w:asciiTheme="majorBidi" w:hAnsiTheme="majorBidi" w:cstheme="majorBidi"/>
          <w:sz w:val="24"/>
          <w:szCs w:val="24"/>
        </w:rPr>
        <w:t>partie du travail concerne l’évaluation</w:t>
      </w:r>
      <w:r>
        <w:rPr>
          <w:rFonts w:asciiTheme="majorBidi" w:hAnsiTheme="majorBidi" w:cstheme="majorBidi"/>
          <w:sz w:val="24"/>
          <w:szCs w:val="24"/>
        </w:rPr>
        <w:t xml:space="preserve"> qualitative et quantitative (CMI)</w:t>
      </w:r>
      <w:r w:rsidR="00531D4C">
        <w:rPr>
          <w:rFonts w:asciiTheme="majorBidi" w:hAnsiTheme="majorBidi" w:cstheme="majorBidi"/>
          <w:sz w:val="24"/>
          <w:szCs w:val="24"/>
        </w:rPr>
        <w:t xml:space="preserve"> </w:t>
      </w:r>
      <w:r w:rsidRPr="003C2446">
        <w:rPr>
          <w:rFonts w:asciiTheme="majorBidi" w:hAnsiTheme="majorBidi" w:cstheme="majorBidi"/>
          <w:i/>
          <w:iCs/>
          <w:sz w:val="24"/>
          <w:szCs w:val="24"/>
        </w:rPr>
        <w:t>in vitro</w:t>
      </w:r>
      <w:r w:rsidRPr="003C2446">
        <w:rPr>
          <w:rFonts w:asciiTheme="majorBidi" w:hAnsiTheme="majorBidi" w:cstheme="majorBidi"/>
          <w:sz w:val="24"/>
          <w:szCs w:val="24"/>
        </w:rPr>
        <w:t xml:space="preserve"> de l’activité </w:t>
      </w:r>
      <w:r>
        <w:rPr>
          <w:rFonts w:asciiTheme="majorBidi" w:hAnsiTheme="majorBidi" w:cstheme="majorBidi"/>
          <w:sz w:val="24"/>
          <w:szCs w:val="24"/>
        </w:rPr>
        <w:t xml:space="preserve">antimicrobienne </w:t>
      </w:r>
      <w:r w:rsidRPr="003C2446">
        <w:rPr>
          <w:rFonts w:asciiTheme="majorBidi" w:hAnsiTheme="majorBidi" w:cstheme="majorBidi"/>
          <w:sz w:val="24"/>
          <w:szCs w:val="24"/>
        </w:rPr>
        <w:t xml:space="preserve">des </w:t>
      </w:r>
      <w:r>
        <w:rPr>
          <w:rFonts w:asciiTheme="majorBidi" w:hAnsiTheme="majorBidi" w:cstheme="majorBidi"/>
          <w:sz w:val="24"/>
          <w:szCs w:val="24"/>
        </w:rPr>
        <w:t>ligands et des complexes. Celle</w:t>
      </w:r>
      <w:r w:rsidRPr="003C2446">
        <w:rPr>
          <w:rFonts w:asciiTheme="majorBidi" w:hAnsiTheme="majorBidi" w:cstheme="majorBidi"/>
          <w:sz w:val="24"/>
          <w:szCs w:val="24"/>
        </w:rPr>
        <w:t xml:space="preserve">-ci a été réalisée sur des bactéries du genre </w:t>
      </w:r>
      <w:r w:rsidRPr="003C2446">
        <w:rPr>
          <w:rFonts w:asciiTheme="majorBidi" w:hAnsiTheme="majorBidi" w:cstheme="majorBidi"/>
          <w:i/>
          <w:iCs/>
          <w:sz w:val="24"/>
          <w:szCs w:val="24"/>
        </w:rPr>
        <w:t xml:space="preserve">Escherichia, Starphylococcus, Pseudomonas </w:t>
      </w:r>
      <w:r w:rsidRPr="003C2446">
        <w:rPr>
          <w:rFonts w:asciiTheme="majorBidi" w:hAnsiTheme="majorBidi" w:cstheme="majorBidi"/>
          <w:sz w:val="24"/>
          <w:szCs w:val="24"/>
        </w:rPr>
        <w:t>et sur des champignons filamenteux</w:t>
      </w:r>
      <w:r w:rsidRPr="003C2446">
        <w:rPr>
          <w:rFonts w:asciiTheme="majorBidi" w:hAnsiTheme="majorBidi" w:cstheme="majorBidi"/>
          <w:i/>
          <w:iCs/>
          <w:sz w:val="24"/>
          <w:szCs w:val="24"/>
        </w:rPr>
        <w:t xml:space="preserve"> du genre Aspergillus </w:t>
      </w:r>
      <w:r w:rsidRPr="003C2446">
        <w:rPr>
          <w:rFonts w:asciiTheme="majorBidi" w:hAnsiTheme="majorBidi" w:cstheme="majorBidi"/>
          <w:sz w:val="24"/>
          <w:szCs w:val="24"/>
        </w:rPr>
        <w:t>et enfin sur des levures genre</w:t>
      </w:r>
      <w:r w:rsidRPr="003C2446">
        <w:rPr>
          <w:rFonts w:asciiTheme="majorBidi" w:hAnsiTheme="majorBidi" w:cstheme="majorBidi"/>
          <w:i/>
          <w:iCs/>
          <w:sz w:val="24"/>
          <w:szCs w:val="24"/>
        </w:rPr>
        <w:t xml:space="preserve"> Candida. </w:t>
      </w:r>
      <w:r w:rsidRPr="003C2446">
        <w:rPr>
          <w:rFonts w:asciiTheme="majorBidi" w:hAnsiTheme="majorBidi" w:cstheme="majorBidi"/>
          <w:sz w:val="24"/>
          <w:szCs w:val="24"/>
        </w:rPr>
        <w:t xml:space="preserve">L’étude a été réalisée par la méthode de diffusions sur gélose et les résultats sont comparés à un antibiotique de référence </w:t>
      </w:r>
      <w:r w:rsidRPr="003C2446">
        <w:rPr>
          <w:rFonts w:asciiTheme="majorBidi" w:hAnsiTheme="majorBidi" w:cstheme="majorBidi"/>
        </w:rPr>
        <w:t>et un an</w:t>
      </w:r>
      <w:r w:rsidR="00374565">
        <w:rPr>
          <w:rFonts w:asciiTheme="majorBidi" w:hAnsiTheme="majorBidi" w:cstheme="majorBidi"/>
        </w:rPr>
        <w:t>tifongique azolé de référence (</w:t>
      </w:r>
      <w:r w:rsidRPr="003C2446">
        <w:rPr>
          <w:rFonts w:asciiTheme="majorBidi" w:hAnsiTheme="majorBidi" w:cstheme="majorBidi"/>
        </w:rPr>
        <w:t>Kétoconazole) pour l’activité antifongique.</w:t>
      </w:r>
      <w:r w:rsidR="00374565">
        <w:rPr>
          <w:rFonts w:asciiTheme="majorBidi" w:hAnsiTheme="majorBidi" w:cstheme="majorBidi"/>
        </w:rPr>
        <w:t xml:space="preserve"> </w:t>
      </w:r>
      <w:r w:rsidRPr="003C2446">
        <w:rPr>
          <w:rFonts w:asciiTheme="majorBidi" w:hAnsiTheme="majorBidi" w:cstheme="majorBidi"/>
          <w:sz w:val="24"/>
          <w:szCs w:val="24"/>
        </w:rPr>
        <w:t>Les complexes de manganèse avec le</w:t>
      </w:r>
      <w:r>
        <w:rPr>
          <w:rFonts w:asciiTheme="majorBidi" w:hAnsiTheme="majorBidi" w:cstheme="majorBidi"/>
          <w:sz w:val="24"/>
          <w:szCs w:val="24"/>
        </w:rPr>
        <w:t>s</w:t>
      </w:r>
      <w:r w:rsidRPr="003C2446">
        <w:rPr>
          <w:rFonts w:asciiTheme="majorBidi" w:hAnsiTheme="majorBidi" w:cstheme="majorBidi"/>
          <w:sz w:val="24"/>
          <w:szCs w:val="24"/>
        </w:rPr>
        <w:t xml:space="preserve"> ligand</w:t>
      </w:r>
      <w:r>
        <w:rPr>
          <w:rFonts w:asciiTheme="majorBidi" w:hAnsiTheme="majorBidi" w:cstheme="majorBidi"/>
          <w:sz w:val="24"/>
          <w:szCs w:val="24"/>
        </w:rPr>
        <w:t>s</w:t>
      </w:r>
      <w:r w:rsidR="00374565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dérivé </w:t>
      </w:r>
      <w:r w:rsidR="00374565">
        <w:rPr>
          <w:rFonts w:asciiTheme="majorBidi" w:hAnsiTheme="majorBidi" w:cstheme="majorBidi"/>
          <w:sz w:val="24"/>
          <w:szCs w:val="24"/>
        </w:rPr>
        <w:t xml:space="preserve">du </w:t>
      </w:r>
      <w:r>
        <w:rPr>
          <w:rFonts w:asciiTheme="majorBidi" w:hAnsiTheme="majorBidi" w:cstheme="majorBidi"/>
          <w:sz w:val="24"/>
          <w:szCs w:val="24"/>
        </w:rPr>
        <w:t>benz</w:t>
      </w:r>
      <w:r w:rsidRPr="003C2446">
        <w:rPr>
          <w:rFonts w:asciiTheme="majorBidi" w:hAnsiTheme="majorBidi" w:cstheme="majorBidi"/>
          <w:sz w:val="24"/>
          <w:szCs w:val="24"/>
        </w:rPr>
        <w:t xml:space="preserve">oxazole et </w:t>
      </w:r>
      <w:r>
        <w:rPr>
          <w:rFonts w:asciiTheme="majorBidi" w:hAnsiTheme="majorBidi" w:cstheme="majorBidi"/>
          <w:sz w:val="24"/>
          <w:szCs w:val="24"/>
        </w:rPr>
        <w:t xml:space="preserve">le </w:t>
      </w:r>
      <w:r w:rsidRPr="003C2446">
        <w:rPr>
          <w:rFonts w:asciiTheme="majorBidi" w:hAnsiTheme="majorBidi" w:cstheme="majorBidi"/>
          <w:sz w:val="24"/>
          <w:szCs w:val="24"/>
        </w:rPr>
        <w:t xml:space="preserve">ligand sulfaméthoxazole ont révélé une remarquable inhibition de la croissance des bactéries spécialement </w:t>
      </w:r>
      <w:r w:rsidR="00115D5A">
        <w:rPr>
          <w:rFonts w:asciiTheme="majorBidi" w:hAnsiTheme="majorBidi" w:cstheme="majorBidi"/>
          <w:i/>
          <w:iCs/>
          <w:sz w:val="24"/>
          <w:szCs w:val="24"/>
        </w:rPr>
        <w:t xml:space="preserve">Pseudomonas </w:t>
      </w:r>
      <w:r w:rsidRPr="003C2446">
        <w:rPr>
          <w:rFonts w:asciiTheme="majorBidi" w:hAnsiTheme="majorBidi" w:cstheme="majorBidi"/>
          <w:i/>
          <w:iCs/>
          <w:sz w:val="24"/>
          <w:szCs w:val="24"/>
        </w:rPr>
        <w:t xml:space="preserve">aeruginosa et </w:t>
      </w:r>
      <w:r w:rsidRPr="003C2446">
        <w:rPr>
          <w:rFonts w:asciiTheme="majorBidi" w:hAnsiTheme="majorBidi" w:cstheme="majorBidi"/>
          <w:sz w:val="24"/>
          <w:szCs w:val="24"/>
        </w:rPr>
        <w:t>ainsi sur des champignons type</w:t>
      </w:r>
      <w:r w:rsidRPr="003C2446">
        <w:rPr>
          <w:rFonts w:asciiTheme="majorBidi" w:hAnsiTheme="majorBidi" w:cstheme="majorBidi"/>
          <w:i/>
          <w:iCs/>
          <w:sz w:val="24"/>
          <w:szCs w:val="24"/>
        </w:rPr>
        <w:t xml:space="preserve"> Aspergillus. </w:t>
      </w:r>
      <w:r w:rsidRPr="003C2446">
        <w:rPr>
          <w:rFonts w:asciiTheme="majorBidi" w:hAnsiTheme="majorBidi" w:cstheme="majorBidi"/>
          <w:sz w:val="24"/>
          <w:szCs w:val="24"/>
        </w:rPr>
        <w:t>Les complexes de cuivre sont actifs sur</w:t>
      </w:r>
      <w:r w:rsidRPr="003C2446">
        <w:rPr>
          <w:rFonts w:asciiTheme="majorBidi" w:hAnsiTheme="majorBidi" w:cstheme="majorBidi"/>
          <w:i/>
          <w:iCs/>
          <w:sz w:val="24"/>
          <w:szCs w:val="24"/>
        </w:rPr>
        <w:t xml:space="preserve"> Pseudomonas</w:t>
      </w:r>
      <w:r w:rsidR="00115D5A">
        <w:rPr>
          <w:rFonts w:asciiTheme="majorBidi" w:hAnsiTheme="majorBidi" w:cstheme="majorBidi"/>
          <w:i/>
          <w:iCs/>
          <w:sz w:val="24"/>
          <w:szCs w:val="24"/>
        </w:rPr>
        <w:t xml:space="preserve"> a</w:t>
      </w:r>
      <w:r w:rsidRPr="003C2446">
        <w:rPr>
          <w:rFonts w:asciiTheme="majorBidi" w:hAnsiTheme="majorBidi" w:cstheme="majorBidi"/>
          <w:i/>
          <w:iCs/>
          <w:sz w:val="24"/>
          <w:szCs w:val="24"/>
        </w:rPr>
        <w:t>eruginosa</w:t>
      </w:r>
      <w:r w:rsidR="0037456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3C2446">
        <w:rPr>
          <w:rFonts w:asciiTheme="majorBidi" w:hAnsiTheme="majorBidi" w:cstheme="majorBidi"/>
          <w:sz w:val="24"/>
          <w:szCs w:val="24"/>
        </w:rPr>
        <w:t>par</w:t>
      </w:r>
      <w:r w:rsidR="00374565">
        <w:rPr>
          <w:rFonts w:asciiTheme="majorBidi" w:hAnsiTheme="majorBidi" w:cstheme="majorBidi"/>
          <w:sz w:val="24"/>
          <w:szCs w:val="24"/>
        </w:rPr>
        <w:t xml:space="preserve"> </w:t>
      </w:r>
      <w:r w:rsidRPr="003C2446">
        <w:rPr>
          <w:rFonts w:asciiTheme="majorBidi" w:hAnsiTheme="majorBidi" w:cstheme="majorBidi"/>
          <w:sz w:val="24"/>
          <w:szCs w:val="24"/>
        </w:rPr>
        <w:t xml:space="preserve">contre </w:t>
      </w:r>
      <w:r w:rsidR="00374565" w:rsidRPr="003C2446">
        <w:rPr>
          <w:rFonts w:asciiTheme="majorBidi" w:hAnsiTheme="majorBidi" w:cstheme="majorBidi"/>
          <w:sz w:val="24"/>
          <w:szCs w:val="24"/>
        </w:rPr>
        <w:t>ils ne sont</w:t>
      </w:r>
      <w:r w:rsidRPr="003C2446">
        <w:rPr>
          <w:rFonts w:asciiTheme="majorBidi" w:hAnsiTheme="majorBidi" w:cstheme="majorBidi"/>
          <w:sz w:val="24"/>
          <w:szCs w:val="24"/>
        </w:rPr>
        <w:t xml:space="preserve"> pas actifs sur les levures et les champignons filamenteux.</w:t>
      </w:r>
      <w:r w:rsidR="00374565">
        <w:rPr>
          <w:rFonts w:asciiTheme="majorBidi" w:hAnsiTheme="majorBidi" w:cstheme="majorBidi"/>
          <w:sz w:val="24"/>
          <w:szCs w:val="24"/>
        </w:rPr>
        <w:t xml:space="preserve"> </w:t>
      </w:r>
      <w:r w:rsidRPr="003C2446">
        <w:rPr>
          <w:rFonts w:asciiTheme="majorBidi" w:hAnsiTheme="majorBidi" w:cstheme="majorBidi"/>
          <w:sz w:val="24"/>
          <w:szCs w:val="24"/>
        </w:rPr>
        <w:t>Les complexes de fer ne sont pas actifs sur les bactéries mais actifs contre les</w:t>
      </w:r>
      <w:r>
        <w:rPr>
          <w:rFonts w:asciiTheme="majorBidi" w:hAnsiTheme="majorBidi" w:cstheme="majorBidi"/>
          <w:sz w:val="24"/>
          <w:szCs w:val="24"/>
        </w:rPr>
        <w:t xml:space="preserve"> levures et les </w:t>
      </w:r>
      <w:r w:rsidRPr="003C2446">
        <w:rPr>
          <w:rFonts w:asciiTheme="majorBidi" w:hAnsiTheme="majorBidi" w:cstheme="majorBidi"/>
          <w:sz w:val="24"/>
          <w:szCs w:val="24"/>
        </w:rPr>
        <w:t>champignons filamenteux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13127A" w:rsidRPr="003C2446" w:rsidRDefault="0013127A" w:rsidP="004F1927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La dernière partie du travail est consacrée </w:t>
      </w:r>
      <w:r w:rsidRPr="00432618">
        <w:rPr>
          <w:rFonts w:asciiTheme="majorBidi" w:hAnsiTheme="majorBidi" w:cstheme="majorBidi"/>
          <w:color w:val="000000"/>
          <w:sz w:val="24"/>
          <w:szCs w:val="24"/>
        </w:rPr>
        <w:t>à</w:t>
      </w:r>
      <w:r>
        <w:rPr>
          <w:rFonts w:asciiTheme="majorBidi" w:hAnsiTheme="majorBidi" w:cstheme="majorBidi"/>
        </w:rPr>
        <w:t xml:space="preserve"> l’étude de la toxicité aigü</w:t>
      </w:r>
      <w:r w:rsidRPr="003C2446">
        <w:rPr>
          <w:rFonts w:asciiTheme="majorBidi" w:hAnsiTheme="majorBidi" w:cstheme="majorBidi"/>
        </w:rPr>
        <w:t>e</w:t>
      </w:r>
      <w:r>
        <w:rPr>
          <w:rFonts w:asciiTheme="majorBidi" w:hAnsiTheme="majorBidi" w:cstheme="majorBidi"/>
        </w:rPr>
        <w:t xml:space="preserve"> et subaigüe</w:t>
      </w:r>
      <w:r w:rsidR="00CC72E2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et cela dans le but d’obtenir des données de sécurité sur l’utilisation</w:t>
      </w:r>
      <w:r w:rsidR="00374565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de ces composés selon la ligne d’érectrice OECD.</w:t>
      </w:r>
    </w:p>
    <w:p w:rsidR="004F41FA" w:rsidRPr="00CC72E2" w:rsidRDefault="00CC72E2" w:rsidP="00CC72E2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Mots </w:t>
      </w:r>
      <w:r w:rsidR="00AF2212" w:rsidRPr="00CC72E2">
        <w:rPr>
          <w:rFonts w:asciiTheme="majorBidi" w:hAnsiTheme="majorBidi" w:cstheme="majorBidi"/>
          <w:b/>
          <w:bCs/>
          <w:sz w:val="24"/>
          <w:szCs w:val="24"/>
        </w:rPr>
        <w:t>clés: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CC72E2">
        <w:rPr>
          <w:rFonts w:asciiTheme="majorBidi" w:hAnsiTheme="majorBidi" w:cstheme="majorBidi"/>
          <w:sz w:val="24"/>
          <w:szCs w:val="24"/>
        </w:rPr>
        <w:t>Ligand hétérocyclique</w:t>
      </w:r>
      <w:r w:rsidR="0025053C">
        <w:rPr>
          <w:rFonts w:asciiTheme="majorBidi" w:hAnsiTheme="majorBidi" w:cstheme="majorBidi"/>
          <w:sz w:val="24"/>
          <w:szCs w:val="24"/>
        </w:rPr>
        <w:t xml:space="preserve">, </w:t>
      </w:r>
      <w:r w:rsidRPr="00CC72E2">
        <w:rPr>
          <w:rFonts w:asciiTheme="majorBidi" w:hAnsiTheme="majorBidi" w:cstheme="majorBidi"/>
          <w:sz w:val="24"/>
          <w:szCs w:val="24"/>
        </w:rPr>
        <w:t xml:space="preserve">Complexe, </w:t>
      </w:r>
      <w:r w:rsidR="0025053C">
        <w:rPr>
          <w:rFonts w:asciiTheme="majorBidi" w:hAnsiTheme="majorBidi" w:cstheme="majorBidi"/>
          <w:sz w:val="24"/>
          <w:szCs w:val="24"/>
        </w:rPr>
        <w:t>C</w:t>
      </w:r>
      <w:r w:rsidRPr="00CC72E2">
        <w:rPr>
          <w:rFonts w:asciiTheme="majorBidi" w:hAnsiTheme="majorBidi" w:cstheme="majorBidi"/>
          <w:sz w:val="24"/>
          <w:szCs w:val="24"/>
        </w:rPr>
        <w:t xml:space="preserve">onstantes de stabilité,  </w:t>
      </w:r>
      <w:r w:rsidR="0025053C">
        <w:rPr>
          <w:rFonts w:asciiTheme="majorBidi" w:hAnsiTheme="majorBidi" w:cstheme="majorBidi"/>
          <w:sz w:val="24"/>
          <w:szCs w:val="24"/>
        </w:rPr>
        <w:t>A</w:t>
      </w:r>
      <w:r w:rsidRPr="00CC72E2">
        <w:rPr>
          <w:rFonts w:asciiTheme="majorBidi" w:hAnsiTheme="majorBidi" w:cstheme="majorBidi"/>
          <w:sz w:val="24"/>
          <w:szCs w:val="24"/>
        </w:rPr>
        <w:t xml:space="preserve">ctivité antimicrobienne, </w:t>
      </w:r>
      <w:r w:rsidR="0025053C">
        <w:rPr>
          <w:rFonts w:asciiTheme="majorBidi" w:hAnsiTheme="majorBidi" w:cstheme="majorBidi"/>
          <w:sz w:val="24"/>
          <w:szCs w:val="24"/>
        </w:rPr>
        <w:t>T</w:t>
      </w:r>
      <w:r w:rsidRPr="00CC72E2">
        <w:rPr>
          <w:rFonts w:asciiTheme="majorBidi" w:hAnsiTheme="majorBidi" w:cstheme="majorBidi"/>
          <w:sz w:val="24"/>
          <w:szCs w:val="24"/>
        </w:rPr>
        <w:t>oxicité aigue et subaigüe.</w:t>
      </w:r>
    </w:p>
    <w:sectPr w:rsidR="004F41FA" w:rsidRPr="00CC72E2" w:rsidSect="00CC72E2">
      <w:footerReference w:type="even" r:id="rId7"/>
      <w:footerReference w:type="default" r:id="rId8"/>
      <w:footerReference w:type="first" r:id="rId9"/>
      <w:pgSz w:w="11906" w:h="16838"/>
      <w:pgMar w:top="567" w:right="1417" w:bottom="1417" w:left="1417" w:header="421" w:footer="708" w:gutter="0"/>
      <w:pgNumType w:start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31CF" w:rsidRDefault="00FC31CF" w:rsidP="001B2D8F">
      <w:pPr>
        <w:spacing w:after="0" w:line="240" w:lineRule="auto"/>
      </w:pPr>
      <w:r>
        <w:separator/>
      </w:r>
    </w:p>
  </w:endnote>
  <w:endnote w:type="continuationSeparator" w:id="1">
    <w:p w:rsidR="00FC31CF" w:rsidRDefault="00FC31CF" w:rsidP="001B2D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31716800"/>
      <w:docPartObj>
        <w:docPartGallery w:val="Page Numbers (Bottom of Page)"/>
        <w:docPartUnique/>
      </w:docPartObj>
    </w:sdtPr>
    <w:sdtContent>
      <w:p w:rsidR="00073ED0" w:rsidRDefault="00A74792" w:rsidP="008175BF">
        <w:pPr>
          <w:pStyle w:val="Pieddepage"/>
          <w:jc w:val="center"/>
        </w:pPr>
      </w:p>
    </w:sdtContent>
  </w:sdt>
  <w:p w:rsidR="00073ED0" w:rsidRDefault="00073ED0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3ED0" w:rsidRDefault="00073ED0" w:rsidP="0013127A">
    <w:pPr>
      <w:pStyle w:val="Pieddepage"/>
      <w:jc w:val="right"/>
    </w:pPr>
  </w:p>
  <w:p w:rsidR="00073ED0" w:rsidRDefault="00073ED0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55852461"/>
      <w:docPartObj>
        <w:docPartGallery w:val="Page Numbers (Bottom of Page)"/>
        <w:docPartUnique/>
      </w:docPartObj>
    </w:sdtPr>
    <w:sdtContent>
      <w:p w:rsidR="00073ED0" w:rsidRDefault="00A74792">
        <w:pPr>
          <w:pStyle w:val="Pieddepage"/>
          <w:jc w:val="right"/>
        </w:pPr>
        <w:fldSimple w:instr=" PAGE   \* MERGEFORMAT ">
          <w:r w:rsidR="00073ED0">
            <w:rPr>
              <w:noProof/>
            </w:rPr>
            <w:t>1</w:t>
          </w:r>
        </w:fldSimple>
      </w:p>
    </w:sdtContent>
  </w:sdt>
  <w:p w:rsidR="00073ED0" w:rsidRDefault="00073ED0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31CF" w:rsidRDefault="00FC31CF" w:rsidP="001B2D8F">
      <w:pPr>
        <w:spacing w:after="0" w:line="240" w:lineRule="auto"/>
      </w:pPr>
      <w:r>
        <w:separator/>
      </w:r>
    </w:p>
  </w:footnote>
  <w:footnote w:type="continuationSeparator" w:id="1">
    <w:p w:rsidR="00FC31CF" w:rsidRDefault="00FC31CF" w:rsidP="001B2D8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3C51BA"/>
    <w:rsid w:val="000040A4"/>
    <w:rsid w:val="000046E0"/>
    <w:rsid w:val="00021571"/>
    <w:rsid w:val="00027D45"/>
    <w:rsid w:val="00034CF8"/>
    <w:rsid w:val="0004534D"/>
    <w:rsid w:val="00060C38"/>
    <w:rsid w:val="00073ED0"/>
    <w:rsid w:val="00073FEA"/>
    <w:rsid w:val="0008531D"/>
    <w:rsid w:val="00087206"/>
    <w:rsid w:val="0009077E"/>
    <w:rsid w:val="000C670F"/>
    <w:rsid w:val="000D5B1E"/>
    <w:rsid w:val="000F32D3"/>
    <w:rsid w:val="000F3304"/>
    <w:rsid w:val="00107378"/>
    <w:rsid w:val="00115D5A"/>
    <w:rsid w:val="00120001"/>
    <w:rsid w:val="00121793"/>
    <w:rsid w:val="00130EC5"/>
    <w:rsid w:val="0013127A"/>
    <w:rsid w:val="00131CCB"/>
    <w:rsid w:val="00134D2C"/>
    <w:rsid w:val="001406AD"/>
    <w:rsid w:val="00146231"/>
    <w:rsid w:val="0014716C"/>
    <w:rsid w:val="0016512B"/>
    <w:rsid w:val="00172C3B"/>
    <w:rsid w:val="001809F9"/>
    <w:rsid w:val="00180C0A"/>
    <w:rsid w:val="0018253B"/>
    <w:rsid w:val="00190640"/>
    <w:rsid w:val="001B2D8F"/>
    <w:rsid w:val="001B35AD"/>
    <w:rsid w:val="001B3ECC"/>
    <w:rsid w:val="001C43C4"/>
    <w:rsid w:val="001C63EF"/>
    <w:rsid w:val="001D3147"/>
    <w:rsid w:val="001E455E"/>
    <w:rsid w:val="001F285A"/>
    <w:rsid w:val="001F41A4"/>
    <w:rsid w:val="00222789"/>
    <w:rsid w:val="002323AF"/>
    <w:rsid w:val="002378D5"/>
    <w:rsid w:val="0025053C"/>
    <w:rsid w:val="00251A78"/>
    <w:rsid w:val="00256015"/>
    <w:rsid w:val="00285139"/>
    <w:rsid w:val="002A42EE"/>
    <w:rsid w:val="002B0EC7"/>
    <w:rsid w:val="002B39C9"/>
    <w:rsid w:val="002B4A2B"/>
    <w:rsid w:val="002C31C0"/>
    <w:rsid w:val="002E416A"/>
    <w:rsid w:val="002E7308"/>
    <w:rsid w:val="002F6278"/>
    <w:rsid w:val="00313D9F"/>
    <w:rsid w:val="0033570C"/>
    <w:rsid w:val="0034586A"/>
    <w:rsid w:val="003676FC"/>
    <w:rsid w:val="00374565"/>
    <w:rsid w:val="00376374"/>
    <w:rsid w:val="003821A3"/>
    <w:rsid w:val="0038547E"/>
    <w:rsid w:val="00393BBF"/>
    <w:rsid w:val="003953C2"/>
    <w:rsid w:val="003A6FF7"/>
    <w:rsid w:val="003C1419"/>
    <w:rsid w:val="003C2446"/>
    <w:rsid w:val="003C305E"/>
    <w:rsid w:val="003C51BA"/>
    <w:rsid w:val="003D3728"/>
    <w:rsid w:val="003E0243"/>
    <w:rsid w:val="003E1571"/>
    <w:rsid w:val="003F6F05"/>
    <w:rsid w:val="0040183E"/>
    <w:rsid w:val="00401DD9"/>
    <w:rsid w:val="00402428"/>
    <w:rsid w:val="0041046C"/>
    <w:rsid w:val="00414B7A"/>
    <w:rsid w:val="00423429"/>
    <w:rsid w:val="004315C2"/>
    <w:rsid w:val="00432618"/>
    <w:rsid w:val="00440BA2"/>
    <w:rsid w:val="00447274"/>
    <w:rsid w:val="004556D9"/>
    <w:rsid w:val="004572DF"/>
    <w:rsid w:val="004578D3"/>
    <w:rsid w:val="004643FF"/>
    <w:rsid w:val="00471070"/>
    <w:rsid w:val="004731CA"/>
    <w:rsid w:val="00480611"/>
    <w:rsid w:val="004909EE"/>
    <w:rsid w:val="00492208"/>
    <w:rsid w:val="00495E22"/>
    <w:rsid w:val="00497D05"/>
    <w:rsid w:val="004A0833"/>
    <w:rsid w:val="004B7B8E"/>
    <w:rsid w:val="004D30B1"/>
    <w:rsid w:val="004D4812"/>
    <w:rsid w:val="004D5404"/>
    <w:rsid w:val="004E2EC2"/>
    <w:rsid w:val="004F1927"/>
    <w:rsid w:val="004F41FA"/>
    <w:rsid w:val="005205BE"/>
    <w:rsid w:val="00531D4C"/>
    <w:rsid w:val="00537A33"/>
    <w:rsid w:val="0054057F"/>
    <w:rsid w:val="00544C32"/>
    <w:rsid w:val="00556B8B"/>
    <w:rsid w:val="00557091"/>
    <w:rsid w:val="00567FA1"/>
    <w:rsid w:val="00581418"/>
    <w:rsid w:val="005818BA"/>
    <w:rsid w:val="005835D7"/>
    <w:rsid w:val="00584271"/>
    <w:rsid w:val="00591FF3"/>
    <w:rsid w:val="00592AE0"/>
    <w:rsid w:val="005A2FE8"/>
    <w:rsid w:val="005A46EF"/>
    <w:rsid w:val="005B2112"/>
    <w:rsid w:val="005B4AAF"/>
    <w:rsid w:val="005C1054"/>
    <w:rsid w:val="005C3BD8"/>
    <w:rsid w:val="005D0BBE"/>
    <w:rsid w:val="005D2C66"/>
    <w:rsid w:val="005D3B61"/>
    <w:rsid w:val="005E503C"/>
    <w:rsid w:val="005E6191"/>
    <w:rsid w:val="005F2857"/>
    <w:rsid w:val="00627240"/>
    <w:rsid w:val="00637606"/>
    <w:rsid w:val="00646C3A"/>
    <w:rsid w:val="006627E5"/>
    <w:rsid w:val="0068520C"/>
    <w:rsid w:val="00694C0E"/>
    <w:rsid w:val="006B1C73"/>
    <w:rsid w:val="006D0793"/>
    <w:rsid w:val="006D5387"/>
    <w:rsid w:val="006E39B3"/>
    <w:rsid w:val="006E4AB5"/>
    <w:rsid w:val="00717BEE"/>
    <w:rsid w:val="00733C1E"/>
    <w:rsid w:val="00744D8A"/>
    <w:rsid w:val="0076756A"/>
    <w:rsid w:val="00773EF8"/>
    <w:rsid w:val="00775D29"/>
    <w:rsid w:val="00776587"/>
    <w:rsid w:val="007776A7"/>
    <w:rsid w:val="00780A55"/>
    <w:rsid w:val="007813BF"/>
    <w:rsid w:val="007817A1"/>
    <w:rsid w:val="00790C98"/>
    <w:rsid w:val="007A05F6"/>
    <w:rsid w:val="007A3A6F"/>
    <w:rsid w:val="007A4E73"/>
    <w:rsid w:val="007F1A8D"/>
    <w:rsid w:val="008121A9"/>
    <w:rsid w:val="008175BF"/>
    <w:rsid w:val="008308B7"/>
    <w:rsid w:val="00831518"/>
    <w:rsid w:val="00844267"/>
    <w:rsid w:val="008473EF"/>
    <w:rsid w:val="00857164"/>
    <w:rsid w:val="00863769"/>
    <w:rsid w:val="0087293A"/>
    <w:rsid w:val="00886E6A"/>
    <w:rsid w:val="008A4B5A"/>
    <w:rsid w:val="008B5CD6"/>
    <w:rsid w:val="008C0C2D"/>
    <w:rsid w:val="008C4A4D"/>
    <w:rsid w:val="008C5E1B"/>
    <w:rsid w:val="008F1D42"/>
    <w:rsid w:val="00915EB2"/>
    <w:rsid w:val="009378B8"/>
    <w:rsid w:val="00944AA0"/>
    <w:rsid w:val="00946157"/>
    <w:rsid w:val="00981E06"/>
    <w:rsid w:val="00987C41"/>
    <w:rsid w:val="009943EF"/>
    <w:rsid w:val="009B51EB"/>
    <w:rsid w:val="009B5361"/>
    <w:rsid w:val="009C1337"/>
    <w:rsid w:val="009C4D9D"/>
    <w:rsid w:val="009C6383"/>
    <w:rsid w:val="009D6D0B"/>
    <w:rsid w:val="009D77EF"/>
    <w:rsid w:val="009F3867"/>
    <w:rsid w:val="009F724F"/>
    <w:rsid w:val="009F783B"/>
    <w:rsid w:val="009F7FE8"/>
    <w:rsid w:val="00A0046C"/>
    <w:rsid w:val="00A00DFE"/>
    <w:rsid w:val="00A031A4"/>
    <w:rsid w:val="00A2252F"/>
    <w:rsid w:val="00A22CEA"/>
    <w:rsid w:val="00A23356"/>
    <w:rsid w:val="00A2780A"/>
    <w:rsid w:val="00A27AE8"/>
    <w:rsid w:val="00A31619"/>
    <w:rsid w:val="00A50714"/>
    <w:rsid w:val="00A5617B"/>
    <w:rsid w:val="00A56E96"/>
    <w:rsid w:val="00A607DD"/>
    <w:rsid w:val="00A640E1"/>
    <w:rsid w:val="00A74792"/>
    <w:rsid w:val="00AA0324"/>
    <w:rsid w:val="00AA0D0E"/>
    <w:rsid w:val="00AC56EF"/>
    <w:rsid w:val="00AE2116"/>
    <w:rsid w:val="00AF2212"/>
    <w:rsid w:val="00AF27C9"/>
    <w:rsid w:val="00AF4B62"/>
    <w:rsid w:val="00AF6790"/>
    <w:rsid w:val="00B05C17"/>
    <w:rsid w:val="00B15A54"/>
    <w:rsid w:val="00B24436"/>
    <w:rsid w:val="00B2488C"/>
    <w:rsid w:val="00B25C3C"/>
    <w:rsid w:val="00B3004C"/>
    <w:rsid w:val="00B30D55"/>
    <w:rsid w:val="00B34AB6"/>
    <w:rsid w:val="00B36063"/>
    <w:rsid w:val="00B44139"/>
    <w:rsid w:val="00B45DD5"/>
    <w:rsid w:val="00B53853"/>
    <w:rsid w:val="00B60660"/>
    <w:rsid w:val="00B607DD"/>
    <w:rsid w:val="00B74B1B"/>
    <w:rsid w:val="00B74C5E"/>
    <w:rsid w:val="00B74D30"/>
    <w:rsid w:val="00B81212"/>
    <w:rsid w:val="00B82BC9"/>
    <w:rsid w:val="00B85647"/>
    <w:rsid w:val="00B862F6"/>
    <w:rsid w:val="00B92641"/>
    <w:rsid w:val="00B976A2"/>
    <w:rsid w:val="00B97893"/>
    <w:rsid w:val="00BA2DE2"/>
    <w:rsid w:val="00BB7FA1"/>
    <w:rsid w:val="00BC3817"/>
    <w:rsid w:val="00BD4ABE"/>
    <w:rsid w:val="00BE06C6"/>
    <w:rsid w:val="00BE2CA5"/>
    <w:rsid w:val="00BE6BD9"/>
    <w:rsid w:val="00C0081F"/>
    <w:rsid w:val="00C072BE"/>
    <w:rsid w:val="00C206E8"/>
    <w:rsid w:val="00C20BE6"/>
    <w:rsid w:val="00C22356"/>
    <w:rsid w:val="00C22E51"/>
    <w:rsid w:val="00C52EB9"/>
    <w:rsid w:val="00C6406B"/>
    <w:rsid w:val="00C75261"/>
    <w:rsid w:val="00C91FE3"/>
    <w:rsid w:val="00CA4C3F"/>
    <w:rsid w:val="00CA5C6C"/>
    <w:rsid w:val="00CB0A95"/>
    <w:rsid w:val="00CB3ADA"/>
    <w:rsid w:val="00CC29DB"/>
    <w:rsid w:val="00CC330C"/>
    <w:rsid w:val="00CC485A"/>
    <w:rsid w:val="00CC72E2"/>
    <w:rsid w:val="00CD70AE"/>
    <w:rsid w:val="00CE3A17"/>
    <w:rsid w:val="00CF3154"/>
    <w:rsid w:val="00D00992"/>
    <w:rsid w:val="00D04EC1"/>
    <w:rsid w:val="00D1009A"/>
    <w:rsid w:val="00D14030"/>
    <w:rsid w:val="00D20612"/>
    <w:rsid w:val="00D40526"/>
    <w:rsid w:val="00D51F05"/>
    <w:rsid w:val="00D74B2A"/>
    <w:rsid w:val="00D757A4"/>
    <w:rsid w:val="00D85437"/>
    <w:rsid w:val="00D924D2"/>
    <w:rsid w:val="00DB1805"/>
    <w:rsid w:val="00DC3714"/>
    <w:rsid w:val="00DC7F9C"/>
    <w:rsid w:val="00DD1EE9"/>
    <w:rsid w:val="00DD32AA"/>
    <w:rsid w:val="00DD34EB"/>
    <w:rsid w:val="00DE6760"/>
    <w:rsid w:val="00DF51F4"/>
    <w:rsid w:val="00DF7D43"/>
    <w:rsid w:val="00E16536"/>
    <w:rsid w:val="00E274B5"/>
    <w:rsid w:val="00E334B0"/>
    <w:rsid w:val="00E47832"/>
    <w:rsid w:val="00E512A8"/>
    <w:rsid w:val="00E56C95"/>
    <w:rsid w:val="00E60B92"/>
    <w:rsid w:val="00E718AA"/>
    <w:rsid w:val="00E82E11"/>
    <w:rsid w:val="00E95EB8"/>
    <w:rsid w:val="00E9786C"/>
    <w:rsid w:val="00E978EC"/>
    <w:rsid w:val="00EB0A25"/>
    <w:rsid w:val="00EC6153"/>
    <w:rsid w:val="00EC751B"/>
    <w:rsid w:val="00ED05EB"/>
    <w:rsid w:val="00EE1BEB"/>
    <w:rsid w:val="00EF7F0B"/>
    <w:rsid w:val="00F13FF7"/>
    <w:rsid w:val="00F149EB"/>
    <w:rsid w:val="00F2633D"/>
    <w:rsid w:val="00F31EF3"/>
    <w:rsid w:val="00F33D2C"/>
    <w:rsid w:val="00F34825"/>
    <w:rsid w:val="00F41F44"/>
    <w:rsid w:val="00F42892"/>
    <w:rsid w:val="00F50C74"/>
    <w:rsid w:val="00F51690"/>
    <w:rsid w:val="00F56D4E"/>
    <w:rsid w:val="00F63804"/>
    <w:rsid w:val="00F66CEA"/>
    <w:rsid w:val="00F7761C"/>
    <w:rsid w:val="00F94096"/>
    <w:rsid w:val="00FA382A"/>
    <w:rsid w:val="00FA4DDB"/>
    <w:rsid w:val="00FA6586"/>
    <w:rsid w:val="00FA7225"/>
    <w:rsid w:val="00FC31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0D0E"/>
  </w:style>
  <w:style w:type="paragraph" w:styleId="Titre1">
    <w:name w:val="heading 1"/>
    <w:basedOn w:val="Normal"/>
    <w:next w:val="Normal"/>
    <w:link w:val="Titre1Car"/>
    <w:uiPriority w:val="9"/>
    <w:qFormat/>
    <w:rsid w:val="001B2D8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3C51BA"/>
    <w:pPr>
      <w:keepNext/>
      <w:autoSpaceDE w:val="0"/>
      <w:autoSpaceDN w:val="0"/>
      <w:adjustRightInd w:val="0"/>
      <w:snapToGrid w:val="0"/>
      <w:spacing w:after="0" w:line="360" w:lineRule="auto"/>
      <w:contextualSpacing/>
      <w:jc w:val="center"/>
      <w:outlineLvl w:val="1"/>
    </w:pPr>
    <w:rPr>
      <w:rFonts w:ascii="Times New Roman" w:hAnsi="Times New Roman" w:cs="Times New Roman"/>
      <w:b/>
      <w:color w:val="000000"/>
      <w:sz w:val="23"/>
      <w:szCs w:val="23"/>
    </w:rPr>
  </w:style>
  <w:style w:type="paragraph" w:styleId="Titre3">
    <w:name w:val="heading 3"/>
    <w:basedOn w:val="Normal"/>
    <w:next w:val="Normal"/>
    <w:link w:val="Titre3Car"/>
    <w:qFormat/>
    <w:rsid w:val="00F34825"/>
    <w:pPr>
      <w:keepNext/>
      <w:spacing w:before="240" w:after="60"/>
      <w:outlineLvl w:val="2"/>
    </w:pPr>
    <w:rPr>
      <w:rFonts w:ascii="Arial" w:eastAsia="Times New Roman" w:hAnsi="Arial" w:cs="Arial"/>
      <w:b/>
      <w:bCs/>
      <w:sz w:val="26"/>
      <w:szCs w:val="26"/>
      <w:lang w:val="en-US" w:eastAsia="en-US"/>
    </w:rPr>
  </w:style>
  <w:style w:type="paragraph" w:styleId="Titre4">
    <w:name w:val="heading 4"/>
    <w:basedOn w:val="Normal"/>
    <w:next w:val="Normal"/>
    <w:link w:val="Titre4Car"/>
    <w:qFormat/>
    <w:rsid w:val="00F34825"/>
    <w:pPr>
      <w:keepNext/>
      <w:spacing w:before="240" w:after="60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en-US" w:eastAsia="en-US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1B2D8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3C51BA"/>
    <w:rPr>
      <w:rFonts w:ascii="Times New Roman" w:hAnsi="Times New Roman" w:cs="Times New Roman"/>
      <w:b/>
      <w:color w:val="000000"/>
      <w:sz w:val="23"/>
      <w:szCs w:val="23"/>
    </w:rPr>
  </w:style>
  <w:style w:type="paragraph" w:styleId="Corpsdetexte3">
    <w:name w:val="Body Text 3"/>
    <w:basedOn w:val="Normal"/>
    <w:link w:val="Corpsdetexte3Car"/>
    <w:uiPriority w:val="99"/>
    <w:unhideWhenUsed/>
    <w:rsid w:val="003C51BA"/>
    <w:pPr>
      <w:spacing w:line="360" w:lineRule="auto"/>
      <w:contextualSpacing/>
      <w:jc w:val="both"/>
    </w:pPr>
    <w:rPr>
      <w:rFonts w:ascii="Times New Roman" w:hAnsi="Times New Roman" w:cs="Times New Roman"/>
    </w:rPr>
  </w:style>
  <w:style w:type="character" w:customStyle="1" w:styleId="Corpsdetexte3Car">
    <w:name w:val="Corps de texte 3 Car"/>
    <w:basedOn w:val="Policepardfaut"/>
    <w:link w:val="Corpsdetexte3"/>
    <w:uiPriority w:val="99"/>
    <w:rsid w:val="003C51BA"/>
    <w:rPr>
      <w:rFonts w:ascii="Times New Roman" w:hAnsi="Times New Roman" w:cs="Times New Roman"/>
    </w:rPr>
  </w:style>
  <w:style w:type="paragraph" w:styleId="En-tte">
    <w:name w:val="header"/>
    <w:basedOn w:val="Normal"/>
    <w:link w:val="En-tteCar"/>
    <w:uiPriority w:val="99"/>
    <w:unhideWhenUsed/>
    <w:rsid w:val="003C51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C51BA"/>
  </w:style>
  <w:style w:type="paragraph" w:styleId="Titre">
    <w:name w:val="Title"/>
    <w:basedOn w:val="Normal"/>
    <w:next w:val="Normal"/>
    <w:link w:val="TitreCar"/>
    <w:uiPriority w:val="10"/>
    <w:qFormat/>
    <w:rsid w:val="003C51BA"/>
    <w:pPr>
      <w:autoSpaceDE w:val="0"/>
      <w:autoSpaceDN w:val="0"/>
      <w:adjustRightInd w:val="0"/>
      <w:snapToGrid w:val="0"/>
      <w:spacing w:after="0" w:line="360" w:lineRule="auto"/>
      <w:contextualSpacing/>
      <w:jc w:val="center"/>
    </w:pPr>
    <w:rPr>
      <w:rFonts w:ascii="Times New Roman" w:hAnsi="Times New Roman" w:cs="Times New Roman"/>
      <w:b/>
      <w:color w:val="000000"/>
      <w:sz w:val="24"/>
      <w:szCs w:val="24"/>
    </w:rPr>
  </w:style>
  <w:style w:type="character" w:customStyle="1" w:styleId="TitreCar">
    <w:name w:val="Titre Car"/>
    <w:basedOn w:val="Policepardfaut"/>
    <w:link w:val="Titre"/>
    <w:uiPriority w:val="10"/>
    <w:rsid w:val="003C51BA"/>
    <w:rPr>
      <w:rFonts w:ascii="Times New Roman" w:hAnsi="Times New Roman" w:cs="Times New Roman"/>
      <w:b/>
      <w:color w:val="000000"/>
      <w:sz w:val="24"/>
      <w:szCs w:val="24"/>
    </w:rPr>
  </w:style>
  <w:style w:type="paragraph" w:styleId="Pieddepage">
    <w:name w:val="footer"/>
    <w:basedOn w:val="Normal"/>
    <w:link w:val="PieddepageCar"/>
    <w:uiPriority w:val="99"/>
    <w:unhideWhenUsed/>
    <w:rsid w:val="001B2D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B2D8F"/>
  </w:style>
  <w:style w:type="character" w:customStyle="1" w:styleId="Titre1Car">
    <w:name w:val="Titre 1 Car"/>
    <w:basedOn w:val="Policepardfaut"/>
    <w:link w:val="Titre1"/>
    <w:uiPriority w:val="9"/>
    <w:rsid w:val="001B2D8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5Car">
    <w:name w:val="Titre 5 Car"/>
    <w:basedOn w:val="Policepardfaut"/>
    <w:link w:val="Titre5"/>
    <w:uiPriority w:val="9"/>
    <w:semiHidden/>
    <w:rsid w:val="001B2D8F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Corpsdetexte">
    <w:name w:val="Body Text"/>
    <w:basedOn w:val="Normal"/>
    <w:link w:val="CorpsdetexteCar"/>
    <w:uiPriority w:val="99"/>
    <w:unhideWhenUsed/>
    <w:rsid w:val="00027D45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rsid w:val="00027D45"/>
  </w:style>
  <w:style w:type="paragraph" w:styleId="Textedebulles">
    <w:name w:val="Balloon Text"/>
    <w:basedOn w:val="Normal"/>
    <w:link w:val="TextedebullesCar"/>
    <w:uiPriority w:val="99"/>
    <w:semiHidden/>
    <w:unhideWhenUsed/>
    <w:rsid w:val="00EE1B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E1BEB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F1A8D"/>
    <w:pPr>
      <w:ind w:left="720"/>
      <w:contextualSpacing/>
    </w:pPr>
  </w:style>
  <w:style w:type="paragraph" w:styleId="Corpsdetexte2">
    <w:name w:val="Body Text 2"/>
    <w:basedOn w:val="Normal"/>
    <w:link w:val="Corpsdetexte2Car"/>
    <w:uiPriority w:val="99"/>
    <w:semiHidden/>
    <w:unhideWhenUsed/>
    <w:rsid w:val="00F34825"/>
    <w:pPr>
      <w:spacing w:after="120" w:line="480" w:lineRule="auto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F34825"/>
  </w:style>
  <w:style w:type="character" w:customStyle="1" w:styleId="Titre3Car">
    <w:name w:val="Titre 3 Car"/>
    <w:basedOn w:val="Policepardfaut"/>
    <w:link w:val="Titre3"/>
    <w:rsid w:val="00F34825"/>
    <w:rPr>
      <w:rFonts w:ascii="Arial" w:eastAsia="Times New Roman" w:hAnsi="Arial" w:cs="Arial"/>
      <w:b/>
      <w:bCs/>
      <w:sz w:val="26"/>
      <w:szCs w:val="26"/>
      <w:lang w:val="en-US" w:eastAsia="en-US"/>
    </w:rPr>
  </w:style>
  <w:style w:type="character" w:customStyle="1" w:styleId="Titre4Car">
    <w:name w:val="Titre 4 Car"/>
    <w:basedOn w:val="Policepardfaut"/>
    <w:link w:val="Titre4"/>
    <w:rsid w:val="00F34825"/>
    <w:rPr>
      <w:rFonts w:ascii="Times New Roman" w:eastAsia="Times New Roman" w:hAnsi="Times New Roman" w:cs="Times New Roman"/>
      <w:b/>
      <w:bCs/>
      <w:sz w:val="28"/>
      <w:szCs w:val="28"/>
      <w:lang w:val="en-US" w:eastAsia="en-US"/>
    </w:rPr>
  </w:style>
  <w:style w:type="paragraph" w:customStyle="1" w:styleId="Style1">
    <w:name w:val="Style1"/>
    <w:basedOn w:val="Normal"/>
    <w:rsid w:val="00F34825"/>
    <w:pPr>
      <w:spacing w:after="0" w:line="240" w:lineRule="auto"/>
    </w:pPr>
    <w:rPr>
      <w:rFonts w:ascii="Times New Roman" w:eastAsia="Times New Roman" w:hAnsi="Times New Roman" w:cs="Times New Roman"/>
      <w:sz w:val="26"/>
      <w:szCs w:val="24"/>
    </w:rPr>
  </w:style>
  <w:style w:type="character" w:customStyle="1" w:styleId="hps">
    <w:name w:val="hps"/>
    <w:rsid w:val="00DD32AA"/>
  </w:style>
  <w:style w:type="character" w:customStyle="1" w:styleId="longtext">
    <w:name w:val="long_text"/>
    <w:uiPriority w:val="99"/>
    <w:rsid w:val="00E978EC"/>
  </w:style>
  <w:style w:type="character" w:styleId="lev">
    <w:name w:val="Strong"/>
    <w:uiPriority w:val="99"/>
    <w:qFormat/>
    <w:rsid w:val="008473EF"/>
    <w:rPr>
      <w:rFonts w:cs="Times New Roman"/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963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45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636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398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4441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2469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907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6370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7553422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8895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015135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6285835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13166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727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8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0356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23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938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7421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6815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327558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99158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1721846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8881070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02085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B79D7-8914-4549-8EEA-9F731B3E59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1084</TotalTime>
  <Pages>1</Pages>
  <Words>450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242</cp:revision>
  <cp:lastPrinted>2014-06-07T14:32:00Z</cp:lastPrinted>
  <dcterms:created xsi:type="dcterms:W3CDTF">2014-05-15T13:51:00Z</dcterms:created>
  <dcterms:modified xsi:type="dcterms:W3CDTF">2015-03-01T09:04:00Z</dcterms:modified>
</cp:coreProperties>
</file>