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13B" w:rsidRDefault="00942073">
      <w:r w:rsidRPr="00942073">
        <w:t xml:space="preserve">Ce travail est consacré à une étude numérique de la convection naturelle thermique </w:t>
      </w:r>
      <w:proofErr w:type="spellStart"/>
      <w:r w:rsidRPr="00942073">
        <w:t>instationnaire</w:t>
      </w:r>
      <w:proofErr w:type="spellEnd"/>
      <w:r w:rsidRPr="00942073">
        <w:t xml:space="preserve"> bidimensionnelle qui se développe dans une enceinte fermée de section carrée dont les parois horizontales sont adiabatiques et les parois verticales composées de deux régions sont maintenues à des températures non uniformes. Les équations  de transfert, formulées en termes de fonction de courant et de </w:t>
      </w:r>
      <w:proofErr w:type="spellStart"/>
      <w:r w:rsidRPr="00942073">
        <w:t>vorticité</w:t>
      </w:r>
      <w:proofErr w:type="spellEnd"/>
      <w:r w:rsidRPr="00942073">
        <w:t>, sont discrétisées par la méthode implicite des différences alternées (ADI). La discrétisation est centrée, au deuxième ordre, pour les dérivées spatiales, et, par contre, vers l'avant et au premier ordre pour les dérivées temporelles. Pour la résolution des équations algébriques qui en résultent la méthode d'élimination de GAUSS est associée  à la méthode ADI. La fonction de courant est obtenue par une sur relaxation. La stabilité est conditionnelle; pour cela il faut choisir les paramètres (</w:t>
      </w:r>
      <w:proofErr w:type="gramStart"/>
      <w:r w:rsidRPr="00942073">
        <w:t>?x</w:t>
      </w:r>
      <w:proofErr w:type="gramEnd"/>
      <w:r w:rsidRPr="00942073">
        <w:t xml:space="preserve">, ? y,  d t) pour que la diagonale principale soit dominante. Le maillage choisi est uniforme  et une étude de  l'influence du maillage et du pas de temps pour des nombres de Rayleigh différents a été faite. Après avoir validé le code de calcul en comparant nos résultats avec ceux de la littérature, nous avons analysé l'influence du nombre de Rayleigh sur l'évolution, au cours du temps, du nombre de </w:t>
      </w:r>
      <w:proofErr w:type="spellStart"/>
      <w:r w:rsidRPr="00942073">
        <w:t>Nusselt</w:t>
      </w:r>
      <w:proofErr w:type="spellEnd"/>
      <w:r w:rsidRPr="00942073">
        <w:t>.  Nos résultats mettent en évidence notamment la transition d'un attracteur point limite, correspondant à un état stationnaire, vers un cycle limite représenté par un état mono périodique. Le dédoublement de période caractérisant une cascade sous harmonique apparaît avant d'atteindre le chaos. Des phénomènes d'intermittence se manifestent entre les états chaotiques caractérisés par des cycles inscrits dans des tores. Le dimensionnement des attracteurs nous a permis de mettre en évidence les attracteurs étranges.</w:t>
      </w:r>
    </w:p>
    <w:sectPr w:rsidR="0000713B" w:rsidSect="0000713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42073"/>
    <w:rsid w:val="0000713B"/>
    <w:rsid w:val="0094207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13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283</Words>
  <Characters>1557</Characters>
  <Application>Microsoft Office Word</Application>
  <DocSecurity>0</DocSecurity>
  <Lines>12</Lines>
  <Paragraphs>3</Paragraphs>
  <ScaleCrop>false</ScaleCrop>
  <Company/>
  <LinksUpToDate>false</LinksUpToDate>
  <CharactersWithSpaces>1837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2014-11-27T10:50:00Z</dcterms:created>
  <dcterms:modified xsi:type="dcterms:W3CDTF">2014-11-27T10:50:00Z</dcterms:modified>
</cp:coreProperties>
</file>