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4809" w:rsidRDefault="00194809" w:rsidP="00194809">
      <w:r>
        <w:t>Le présent travail porte sur la caractérisation numérique de l'écoulement laminaire et du transfert thermique en mode de convection mixte, d'un fluide newtonien à viscosité dynamique thermodépendante, en tenant compte de la fonction de dissipation visqueuse. Cet écoulement ascendant, en développement simultané des couches limites, circule dans l'espace annulaire créé par l'emboîtement de deux cylindres coaxiaux de rayons  ri  et  re  tels que ri &lt; re. Un flux de chaleur uniforme est imposé à la paroi interne tandis que règne une température constante et uniforme sur la paroi externe.</w:t>
      </w:r>
    </w:p>
    <w:p w:rsidR="00194809" w:rsidRDefault="00194809" w:rsidP="00194809">
      <w:r>
        <w:t>Dans le cas de la convection forcée, l'analyse de l'effet de l'introduction de la fonction de dissipation, représentée par le nombre de Brinckman dans l'équation de l'énergie nous a permis de constater une nette amélioration du transfert de chaleur en terme de nombre de Nusselt et de champ de température. Il a été noté aussi que la compétition entre la diminution de l'intensité de l'échange thermique (lors du frottement entre le fluide et la paroi) et la génération de chaleur, engendrée par la dissipation visqueuse, prolonge la longueur d'entrée et retarde l'établissement du régime thermique. Alors que la diminution de la viscosité dynamique près de la paroi, suite à l'élévation de la température dans cette zone, entraîne l'accélération des couches pariétales et l'augmentation remarquable de la température moyenne du fluide par rapport au cas isovisqueux.</w:t>
      </w:r>
    </w:p>
    <w:p w:rsidR="00194809" w:rsidRDefault="00194809" w:rsidP="00194809">
      <w:r>
        <w:t>Le problème de l'écoulement en régime de convection mixte a été abordé dans le deuxième volet de nos résultats. Nous nous sommes intéressés dans une première analyse au développement des courants secondaires induits par la convection naturelle. Les effets de cette dernière commencent à apparaître dans une région près de l'entrée et augmentent le long de la conduite pour atteindre un maximum caractérisant une intensité maximale des courants secondaires. L'augmentation du nombre de Rayleigh correspond à l'accroissement de l'intensité des ces courants près de la paroi interne de la conduite, exposée à un chauffage par un flux constant. Les courants de fluide chaud tendent alors à déplacer le fluide vers le côté supérieur de l'entrefer. De plus, l'augmentation du nombre de Rayleigh entraîne d'une part, la diminution du gradient pariétal de vitesse et celle de la vitesse maximale et d'autre part, le gradient pariétal de vitesse du côté externe de l'entrefer augmente.</w:t>
      </w:r>
    </w:p>
    <w:p w:rsidR="00FD3B51" w:rsidRDefault="00194809" w:rsidP="00194809">
      <w:r>
        <w:t>L'influence de l'inclinaison de la conduite annulaire par rapport à l'horizontale, dans la zone où la convection naturelle prédomine (0,01 Zt 0,2), a révélé l'existence d'un angle optimal offrant les meilleures performances thermiques. Ce dernier se situe entre 0° et 30° alors que le minimum correspond à une conduite annulaire verticale.</w:t>
      </w:r>
    </w:p>
    <w:sectPr w:rsidR="00FD3B51" w:rsidSect="00FD3B5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194809"/>
    <w:rsid w:val="00194809"/>
    <w:rsid w:val="00FD3B5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3B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427</Words>
  <Characters>2349</Characters>
  <Application>Microsoft Office Word</Application>
  <DocSecurity>0</DocSecurity>
  <Lines>19</Lines>
  <Paragraphs>5</Paragraphs>
  <ScaleCrop>false</ScaleCrop>
  <Company/>
  <LinksUpToDate>false</LinksUpToDate>
  <CharactersWithSpaces>2771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2015-10-26T13:12:00Z</dcterms:created>
  <dcterms:modified xsi:type="dcterms:W3CDTF">2015-10-26T13:13:00Z</dcterms:modified>
</cp:coreProperties>
</file>