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8FC" w:rsidRDefault="001218FC" w:rsidP="00CA5A30">
      <w:pPr>
        <w:spacing w:after="0" w:line="360" w:lineRule="auto"/>
        <w:ind w:left="567" w:right="849"/>
        <w:jc w:val="both"/>
        <w:rPr>
          <w:rFonts w:ascii="Times New Roman" w:hAnsi="Times New Roman"/>
          <w:b/>
          <w:sz w:val="24"/>
          <w:szCs w:val="24"/>
        </w:rPr>
      </w:pPr>
    </w:p>
    <w:p w:rsidR="001218FC" w:rsidRDefault="001218FC" w:rsidP="00CA5A30">
      <w:pPr>
        <w:spacing w:after="0" w:line="360" w:lineRule="auto"/>
        <w:ind w:left="567" w:right="849"/>
        <w:jc w:val="both"/>
        <w:rPr>
          <w:rFonts w:ascii="Times New Roman" w:hAnsi="Times New Roman"/>
          <w:b/>
          <w:sz w:val="24"/>
          <w:szCs w:val="24"/>
        </w:rPr>
      </w:pPr>
    </w:p>
    <w:p w:rsidR="001218FC" w:rsidRDefault="001218FC" w:rsidP="00CA5A30">
      <w:pPr>
        <w:spacing w:after="0" w:line="360" w:lineRule="auto"/>
        <w:ind w:left="567" w:right="849"/>
        <w:jc w:val="both"/>
        <w:rPr>
          <w:rFonts w:ascii="Times New Roman" w:hAnsi="Times New Roman"/>
          <w:b/>
          <w:sz w:val="24"/>
          <w:szCs w:val="24"/>
        </w:rPr>
      </w:pPr>
    </w:p>
    <w:p w:rsidR="001218FC" w:rsidRDefault="001218FC" w:rsidP="00CA5A30">
      <w:pPr>
        <w:spacing w:after="0" w:line="360" w:lineRule="auto"/>
        <w:ind w:left="567" w:right="849"/>
        <w:jc w:val="both"/>
        <w:rPr>
          <w:rFonts w:ascii="Times New Roman" w:hAnsi="Times New Roman"/>
          <w:b/>
          <w:sz w:val="24"/>
          <w:szCs w:val="24"/>
        </w:rPr>
      </w:pPr>
    </w:p>
    <w:p w:rsidR="001218FC" w:rsidRDefault="001218FC" w:rsidP="00CA5A30">
      <w:pPr>
        <w:spacing w:after="0" w:line="360" w:lineRule="auto"/>
        <w:ind w:left="567" w:right="849"/>
        <w:jc w:val="both"/>
        <w:rPr>
          <w:rFonts w:ascii="Times New Roman" w:hAnsi="Times New Roman"/>
          <w:b/>
          <w:sz w:val="24"/>
          <w:szCs w:val="24"/>
        </w:rPr>
      </w:pPr>
    </w:p>
    <w:p w:rsidR="00CA5A30" w:rsidRPr="00EF3E8E" w:rsidRDefault="00CA5A30" w:rsidP="00CA5A30">
      <w:pPr>
        <w:spacing w:after="0" w:line="360" w:lineRule="auto"/>
        <w:ind w:left="567" w:right="849"/>
        <w:jc w:val="both"/>
        <w:rPr>
          <w:rFonts w:ascii="Times New Roman" w:hAnsi="Times New Roman"/>
          <w:b/>
          <w:sz w:val="24"/>
          <w:szCs w:val="24"/>
        </w:rPr>
      </w:pPr>
      <w:r w:rsidRPr="00EF3E8E">
        <w:rPr>
          <w:rFonts w:ascii="Times New Roman" w:hAnsi="Times New Roman"/>
          <w:b/>
          <w:sz w:val="24"/>
          <w:szCs w:val="24"/>
        </w:rPr>
        <w:t>Résumé</w:t>
      </w:r>
    </w:p>
    <w:p w:rsidR="00CA5A30" w:rsidRPr="00EF3E8E" w:rsidRDefault="00CA5A30" w:rsidP="00CA5A30">
      <w:pPr>
        <w:spacing w:after="0" w:line="360" w:lineRule="auto"/>
        <w:ind w:left="567" w:right="849"/>
        <w:jc w:val="both"/>
        <w:rPr>
          <w:rFonts w:ascii="Times New Roman" w:hAnsi="Times New Roman"/>
          <w:sz w:val="24"/>
          <w:szCs w:val="24"/>
        </w:rPr>
      </w:pPr>
      <w:r w:rsidRPr="00EF3E8E">
        <w:rPr>
          <w:rFonts w:ascii="Times New Roman" w:hAnsi="Times New Roman"/>
          <w:sz w:val="24"/>
          <w:szCs w:val="24"/>
        </w:rPr>
        <w:t>L'exposition persistante aux hydrocarbures peut avoir des effets néfastes sur la croissance, la physiologie et l'anatomie des plantes. L</w:t>
      </w:r>
      <w:r>
        <w:rPr>
          <w:rFonts w:ascii="Times New Roman" w:hAnsi="Times New Roman"/>
          <w:sz w:val="24"/>
          <w:szCs w:val="24"/>
        </w:rPr>
        <w:t xml:space="preserve">’analyse </w:t>
      </w:r>
      <w:r w:rsidRPr="00EF3E8E">
        <w:rPr>
          <w:rFonts w:ascii="Times New Roman" w:hAnsi="Times New Roman"/>
          <w:sz w:val="24"/>
          <w:szCs w:val="24"/>
        </w:rPr>
        <w:t xml:space="preserve">par </w:t>
      </w:r>
      <w:r>
        <w:rPr>
          <w:rFonts w:ascii="Times New Roman" w:hAnsi="Times New Roman"/>
          <w:sz w:val="24"/>
          <w:szCs w:val="24"/>
        </w:rPr>
        <w:t>GC, GC-MS et UPLC du</w:t>
      </w:r>
      <w:r w:rsidRPr="00EF3E8E">
        <w:rPr>
          <w:rFonts w:ascii="Times New Roman" w:hAnsi="Times New Roman"/>
          <w:sz w:val="24"/>
          <w:szCs w:val="24"/>
        </w:rPr>
        <w:t xml:space="preserve"> sable collecté dans un bourbier de forage pétrolier au sud de l'Algérie a révélé la présence d’hydroca</w:t>
      </w:r>
      <w:r>
        <w:rPr>
          <w:rFonts w:ascii="Times New Roman" w:hAnsi="Times New Roman"/>
          <w:sz w:val="24"/>
          <w:szCs w:val="24"/>
        </w:rPr>
        <w:t>rbures (</w:t>
      </w:r>
      <w:proofErr w:type="spellStart"/>
      <w:r>
        <w:rPr>
          <w:rFonts w:ascii="Times New Roman" w:hAnsi="Times New Roman"/>
          <w:sz w:val="24"/>
          <w:szCs w:val="24"/>
        </w:rPr>
        <w:t>18mg.Kg</w:t>
      </w:r>
      <w:proofErr w:type="spellEnd"/>
      <w:r w:rsidRPr="0066735E">
        <w:rPr>
          <w:rFonts w:ascii="Times New Roman" w:hAnsi="Times New Roman"/>
          <w:sz w:val="24"/>
          <w:szCs w:val="24"/>
          <w:vertAlign w:val="superscript"/>
        </w:rPr>
        <w:t>-1</w:t>
      </w:r>
      <w:r>
        <w:rPr>
          <w:rFonts w:ascii="Times New Roman" w:hAnsi="Times New Roman"/>
          <w:sz w:val="24"/>
          <w:szCs w:val="24"/>
        </w:rPr>
        <w:t>) dont quatre hydrocarbures aromatiques polycycliques ou HA</w:t>
      </w:r>
      <w:r w:rsidRPr="00EF3E8E">
        <w:rPr>
          <w:rFonts w:ascii="Times New Roman" w:hAnsi="Times New Roman"/>
          <w:sz w:val="24"/>
          <w:szCs w:val="24"/>
        </w:rPr>
        <w:t xml:space="preserve">P. Les plantes </w:t>
      </w:r>
      <w:r>
        <w:rPr>
          <w:rFonts w:ascii="Times New Roman" w:hAnsi="Times New Roman"/>
          <w:sz w:val="24"/>
          <w:szCs w:val="24"/>
        </w:rPr>
        <w:t>de</w:t>
      </w:r>
      <w:r w:rsidRPr="00EF3E8E">
        <w:rPr>
          <w:rFonts w:ascii="Times New Roman" w:hAnsi="Times New Roman"/>
          <w:sz w:val="24"/>
          <w:szCs w:val="24"/>
        </w:rPr>
        <w:t xml:space="preserve"> petit pois (</w:t>
      </w:r>
      <w:proofErr w:type="spellStart"/>
      <w:r w:rsidRPr="00EF3E8E">
        <w:rPr>
          <w:rFonts w:ascii="Times New Roman" w:hAnsi="Times New Roman"/>
          <w:i/>
          <w:sz w:val="24"/>
          <w:szCs w:val="24"/>
        </w:rPr>
        <w:t>Pisum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EF3E8E">
        <w:rPr>
          <w:rFonts w:ascii="Times New Roman" w:hAnsi="Times New Roman"/>
          <w:i/>
          <w:sz w:val="24"/>
          <w:szCs w:val="24"/>
        </w:rPr>
        <w:t>sativum</w:t>
      </w:r>
      <w:proofErr w:type="spellEnd"/>
      <w:r w:rsidRPr="00EF3E8E">
        <w:rPr>
          <w:rFonts w:ascii="Times New Roman" w:hAnsi="Times New Roman"/>
          <w:sz w:val="24"/>
          <w:szCs w:val="24"/>
        </w:rPr>
        <w:t xml:space="preserve"> L) cultivées</w:t>
      </w:r>
      <w:r>
        <w:rPr>
          <w:rFonts w:ascii="Times New Roman" w:hAnsi="Times New Roman"/>
          <w:sz w:val="24"/>
          <w:szCs w:val="24"/>
        </w:rPr>
        <w:t xml:space="preserve"> </w:t>
      </w:r>
      <w:r w:rsidRPr="00EF3E8E">
        <w:rPr>
          <w:rFonts w:ascii="Times New Roman" w:hAnsi="Times New Roman"/>
          <w:sz w:val="24"/>
          <w:szCs w:val="24"/>
        </w:rPr>
        <w:t xml:space="preserve">sur un sol pollué par les hydrocarbures </w:t>
      </w:r>
      <w:r>
        <w:rPr>
          <w:rFonts w:ascii="Times New Roman" w:hAnsi="Times New Roman"/>
          <w:sz w:val="24"/>
          <w:szCs w:val="24"/>
        </w:rPr>
        <w:t>présentent</w:t>
      </w:r>
      <w:r w:rsidRPr="00EF3E8E">
        <w:rPr>
          <w:rFonts w:ascii="Times New Roman" w:hAnsi="Times New Roman"/>
          <w:sz w:val="24"/>
          <w:szCs w:val="24"/>
        </w:rPr>
        <w:t xml:space="preserve"> des racines primaires plus courtes et moins de racines latérales que les plantes témoins cultivées sur </w:t>
      </w:r>
      <w:r>
        <w:rPr>
          <w:rFonts w:ascii="Times New Roman" w:hAnsi="Times New Roman"/>
          <w:sz w:val="24"/>
          <w:szCs w:val="24"/>
        </w:rPr>
        <w:t xml:space="preserve"> un sol non pollué ;</w:t>
      </w:r>
      <w:r w:rsidRPr="00EF3E8E">
        <w:rPr>
          <w:rFonts w:ascii="Times New Roman" w:hAnsi="Times New Roman"/>
          <w:sz w:val="24"/>
          <w:szCs w:val="24"/>
        </w:rPr>
        <w:t xml:space="preserve"> le poids sec des racines latérales </w:t>
      </w:r>
      <w:r>
        <w:rPr>
          <w:rFonts w:ascii="Times New Roman" w:hAnsi="Times New Roman"/>
          <w:sz w:val="24"/>
          <w:szCs w:val="24"/>
        </w:rPr>
        <w:t>est</w:t>
      </w:r>
      <w:r w:rsidR="004C5AB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 w:rsidRPr="00EF3E8E">
        <w:rPr>
          <w:rFonts w:ascii="Times New Roman" w:hAnsi="Times New Roman"/>
          <w:sz w:val="24"/>
          <w:szCs w:val="24"/>
        </w:rPr>
        <w:t xml:space="preserve">ependant  plus élevé </w:t>
      </w:r>
      <w:r>
        <w:rPr>
          <w:rFonts w:ascii="Times New Roman" w:hAnsi="Times New Roman"/>
          <w:sz w:val="24"/>
          <w:szCs w:val="24"/>
        </w:rPr>
        <w:t>(</w:t>
      </w:r>
      <w:r w:rsidRPr="00EF3E8E">
        <w:rPr>
          <w:rFonts w:ascii="Times New Roman" w:hAnsi="Times New Roman"/>
          <w:sz w:val="24"/>
          <w:szCs w:val="24"/>
        </w:rPr>
        <w:t>35%</w:t>
      </w:r>
      <w:r>
        <w:rPr>
          <w:rFonts w:ascii="Times New Roman" w:hAnsi="Times New Roman"/>
          <w:sz w:val="24"/>
          <w:szCs w:val="24"/>
        </w:rPr>
        <w:t xml:space="preserve">) </w:t>
      </w:r>
      <w:r w:rsidRPr="00EF3E8E">
        <w:rPr>
          <w:rFonts w:ascii="Times New Roman" w:hAnsi="Times New Roman"/>
          <w:sz w:val="24"/>
          <w:szCs w:val="24"/>
        </w:rPr>
        <w:t xml:space="preserve">que </w:t>
      </w:r>
      <w:r>
        <w:rPr>
          <w:rFonts w:ascii="Times New Roman" w:hAnsi="Times New Roman"/>
          <w:sz w:val="24"/>
          <w:szCs w:val="24"/>
        </w:rPr>
        <w:t>celui des plantules</w:t>
      </w:r>
      <w:r w:rsidRPr="00EF3E8E">
        <w:rPr>
          <w:rFonts w:ascii="Times New Roman" w:hAnsi="Times New Roman"/>
          <w:sz w:val="24"/>
          <w:szCs w:val="24"/>
        </w:rPr>
        <w:t xml:space="preserve"> contrôle</w:t>
      </w:r>
      <w:r>
        <w:rPr>
          <w:rFonts w:ascii="Times New Roman" w:hAnsi="Times New Roman"/>
          <w:sz w:val="24"/>
          <w:szCs w:val="24"/>
        </w:rPr>
        <w:t>s</w:t>
      </w:r>
      <w:r w:rsidRPr="00EF3E8E">
        <w:rPr>
          <w:rFonts w:ascii="Times New Roman" w:hAnsi="Times New Roman"/>
          <w:sz w:val="24"/>
          <w:szCs w:val="24"/>
        </w:rPr>
        <w:t xml:space="preserve">. </w:t>
      </w:r>
    </w:p>
    <w:p w:rsidR="00CA5A30" w:rsidRPr="00EF3E8E" w:rsidRDefault="00CA5A30" w:rsidP="00CA5A30">
      <w:pPr>
        <w:spacing w:after="0" w:line="360" w:lineRule="auto"/>
        <w:ind w:left="567" w:right="849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EF3E8E">
        <w:rPr>
          <w:rFonts w:ascii="Times New Roman" w:hAnsi="Times New Roman"/>
          <w:sz w:val="24"/>
          <w:szCs w:val="24"/>
        </w:rPr>
        <w:t xml:space="preserve">Le polluant induit un stress oxydatif dans les feuilles et les racines </w:t>
      </w:r>
      <w:r>
        <w:rPr>
          <w:rFonts w:ascii="Times New Roman" w:hAnsi="Times New Roman"/>
          <w:sz w:val="24"/>
          <w:szCs w:val="24"/>
        </w:rPr>
        <w:t>d</w:t>
      </w:r>
      <w:r w:rsidRPr="00EF3E8E">
        <w:rPr>
          <w:rFonts w:ascii="Times New Roman" w:hAnsi="Times New Roman"/>
          <w:sz w:val="24"/>
          <w:szCs w:val="24"/>
        </w:rPr>
        <w:t xml:space="preserve">es plantules de petit pois, </w:t>
      </w:r>
      <w:r>
        <w:rPr>
          <w:rFonts w:ascii="Times New Roman" w:hAnsi="Times New Roman"/>
          <w:sz w:val="24"/>
          <w:szCs w:val="24"/>
        </w:rPr>
        <w:t>ce qui a</w:t>
      </w:r>
      <w:r w:rsidR="004C5AB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engendré une </w:t>
      </w:r>
      <w:r w:rsidRPr="00EF3E8E">
        <w:rPr>
          <w:rFonts w:ascii="Times New Roman" w:hAnsi="Times New Roman"/>
          <w:sz w:val="24"/>
          <w:szCs w:val="24"/>
        </w:rPr>
        <w:t xml:space="preserve">accumulation </w:t>
      </w:r>
      <w:r>
        <w:rPr>
          <w:rFonts w:ascii="Times New Roman" w:hAnsi="Times New Roman"/>
          <w:sz w:val="24"/>
          <w:szCs w:val="24"/>
        </w:rPr>
        <w:t xml:space="preserve"> de </w:t>
      </w:r>
      <w:r w:rsidRPr="00EF3E8E">
        <w:rPr>
          <w:rFonts w:ascii="Times New Roman" w:hAnsi="Times New Roman"/>
          <w:sz w:val="24"/>
          <w:szCs w:val="24"/>
        </w:rPr>
        <w:t>H</w:t>
      </w:r>
      <w:r w:rsidRPr="00EF3E8E">
        <w:rPr>
          <w:rFonts w:ascii="Times New Roman" w:hAnsi="Times New Roman"/>
          <w:sz w:val="24"/>
          <w:szCs w:val="24"/>
          <w:vertAlign w:val="subscript"/>
        </w:rPr>
        <w:t>2</w:t>
      </w:r>
      <w:r w:rsidRPr="00EF3E8E">
        <w:rPr>
          <w:rFonts w:ascii="Times New Roman" w:hAnsi="Times New Roman"/>
          <w:sz w:val="24"/>
          <w:szCs w:val="24"/>
        </w:rPr>
        <w:t>O</w:t>
      </w:r>
      <w:r w:rsidRPr="00EF3E8E">
        <w:rPr>
          <w:rFonts w:ascii="Times New Roman" w:hAnsi="Times New Roman"/>
          <w:sz w:val="24"/>
          <w:szCs w:val="24"/>
          <w:vertAlign w:val="subscript"/>
        </w:rPr>
        <w:t>2</w:t>
      </w:r>
      <w:r w:rsidRPr="00EF3E8E">
        <w:rPr>
          <w:rFonts w:ascii="Times New Roman" w:hAnsi="Times New Roman"/>
          <w:sz w:val="24"/>
          <w:szCs w:val="24"/>
        </w:rPr>
        <w:t xml:space="preserve"> et O</w:t>
      </w:r>
      <w:r w:rsidRPr="00EF3E8E">
        <w:rPr>
          <w:rFonts w:ascii="Times New Roman" w:hAnsi="Times New Roman"/>
          <w:sz w:val="24"/>
          <w:szCs w:val="24"/>
          <w:vertAlign w:val="subscript"/>
        </w:rPr>
        <w:t>2</w:t>
      </w:r>
      <w:r w:rsidRPr="000F4267">
        <w:rPr>
          <w:rFonts w:ascii="Times New Roman" w:hAnsi="Times New Roman"/>
          <w:sz w:val="24"/>
          <w:szCs w:val="24"/>
          <w:vertAlign w:val="superscript"/>
        </w:rPr>
        <w:t>-</w:t>
      </w:r>
      <w:r>
        <w:rPr>
          <w:rFonts w:ascii="Times New Roman" w:hAnsi="Times New Roman"/>
          <w:sz w:val="24"/>
          <w:szCs w:val="24"/>
        </w:rPr>
        <w:t xml:space="preserve">et une </w:t>
      </w:r>
      <w:r w:rsidRPr="00EF3E8E">
        <w:rPr>
          <w:rFonts w:ascii="Times New Roman" w:hAnsi="Times New Roman"/>
          <w:sz w:val="24"/>
          <w:szCs w:val="24"/>
        </w:rPr>
        <w:t>peroxydation des lipides</w:t>
      </w:r>
      <w:r>
        <w:rPr>
          <w:rFonts w:ascii="Times New Roman" w:hAnsi="Times New Roman"/>
          <w:sz w:val="24"/>
          <w:szCs w:val="24"/>
        </w:rPr>
        <w:t xml:space="preserve"> qui s’est traduite par une augmentation du niveau de MDA</w:t>
      </w:r>
      <w:r w:rsidRPr="00EF3E8E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Theme="majorBidi" w:hAnsiTheme="majorBidi" w:cstheme="majorBidi"/>
          <w:color w:val="000000"/>
          <w:sz w:val="24"/>
          <w:szCs w:val="24"/>
        </w:rPr>
        <w:t>Les plantules de petit pois  ont</w:t>
      </w:r>
      <w:r w:rsidRPr="00EF3E8E">
        <w:rPr>
          <w:rFonts w:asciiTheme="majorBidi" w:hAnsiTheme="majorBidi" w:cstheme="majorBidi"/>
          <w:color w:val="000000"/>
          <w:sz w:val="24"/>
          <w:szCs w:val="24"/>
        </w:rPr>
        <w:t xml:space="preserve"> fait face 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au stress oxydatif </w:t>
      </w:r>
      <w:r w:rsidRPr="00EF3E8E">
        <w:rPr>
          <w:rFonts w:asciiTheme="majorBidi" w:hAnsiTheme="majorBidi" w:cstheme="majorBidi"/>
          <w:color w:val="000000"/>
          <w:sz w:val="24"/>
          <w:szCs w:val="24"/>
        </w:rPr>
        <w:t xml:space="preserve">en augmentant les activités de nombreuses enzymes </w:t>
      </w:r>
      <w:proofErr w:type="spellStart"/>
      <w:r w:rsidRPr="00EF3E8E">
        <w:rPr>
          <w:rFonts w:asciiTheme="majorBidi" w:hAnsiTheme="majorBidi" w:cstheme="majorBidi"/>
          <w:color w:val="000000"/>
          <w:sz w:val="24"/>
          <w:szCs w:val="24"/>
        </w:rPr>
        <w:t>antioxydantes</w:t>
      </w:r>
      <w:proofErr w:type="spellEnd"/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EF3E8E">
        <w:rPr>
          <w:rFonts w:asciiTheme="majorBidi" w:hAnsiTheme="majorBidi" w:cstheme="majorBidi"/>
          <w:color w:val="000000"/>
          <w:sz w:val="24"/>
          <w:szCs w:val="24"/>
        </w:rPr>
        <w:t>(SOD, CAT, POD, GR, APX et GST).</w:t>
      </w:r>
    </w:p>
    <w:p w:rsidR="00CA5A30" w:rsidRDefault="00CA5A30" w:rsidP="00CA5A30">
      <w:pPr>
        <w:spacing w:after="0" w:line="360" w:lineRule="auto"/>
        <w:ind w:left="567" w:right="849"/>
        <w:jc w:val="both"/>
        <w:rPr>
          <w:rFonts w:ascii="Times New Roman" w:hAnsi="Times New Roman"/>
          <w:sz w:val="24"/>
          <w:szCs w:val="24"/>
        </w:rPr>
      </w:pPr>
      <w:r w:rsidRPr="00EF3E8E">
        <w:rPr>
          <w:rFonts w:asciiTheme="majorBidi" w:hAnsiTheme="majorBidi" w:cstheme="majorBidi"/>
          <w:color w:val="000000"/>
          <w:sz w:val="24"/>
          <w:szCs w:val="24"/>
        </w:rPr>
        <w:t xml:space="preserve">L’absorption des hydrocarbures par le système racinaire a montré des modifications morphologiques </w:t>
      </w:r>
      <w:r>
        <w:rPr>
          <w:rFonts w:asciiTheme="majorBidi" w:hAnsiTheme="majorBidi" w:cstheme="majorBidi"/>
          <w:color w:val="000000"/>
          <w:sz w:val="24"/>
          <w:szCs w:val="24"/>
        </w:rPr>
        <w:t>et</w:t>
      </w:r>
      <w:r w:rsidRPr="00EF3E8E">
        <w:rPr>
          <w:rFonts w:asciiTheme="majorBidi" w:hAnsiTheme="majorBidi" w:cstheme="majorBidi"/>
          <w:color w:val="000000"/>
          <w:sz w:val="24"/>
          <w:szCs w:val="24"/>
        </w:rPr>
        <w:t xml:space="preserve"> surtout anatomiques avec un retard de différenciation des vaisseaux du xylème et un dédoublement de l’endoderme</w:t>
      </w:r>
      <w:r>
        <w:rPr>
          <w:rFonts w:ascii="Times New Roman" w:hAnsi="Times New Roman"/>
          <w:sz w:val="24"/>
          <w:szCs w:val="24"/>
        </w:rPr>
        <w:t>.</w:t>
      </w:r>
    </w:p>
    <w:p w:rsidR="00CA5A30" w:rsidRPr="00EF3E8E" w:rsidRDefault="00CA5A30" w:rsidP="00CA5A30">
      <w:pPr>
        <w:spacing w:after="0" w:line="360" w:lineRule="auto"/>
        <w:ind w:left="567" w:right="707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EF3E8E">
        <w:rPr>
          <w:rFonts w:asciiTheme="majorBidi" w:hAnsiTheme="majorBidi" w:cstheme="majorBidi"/>
          <w:color w:val="000000"/>
          <w:sz w:val="24"/>
          <w:szCs w:val="24"/>
        </w:rPr>
        <w:t xml:space="preserve">Les réponses physiologiques, biochimiques, métaboliques, et anatomiques 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obtenues chez  les plantules de </w:t>
      </w:r>
      <w:proofErr w:type="spellStart"/>
      <w:r w:rsidRPr="00A1049D">
        <w:rPr>
          <w:rFonts w:asciiTheme="majorBidi" w:hAnsiTheme="majorBidi" w:cstheme="majorBidi"/>
          <w:i/>
          <w:iCs/>
          <w:color w:val="000000"/>
          <w:sz w:val="24"/>
          <w:szCs w:val="24"/>
        </w:rPr>
        <w:t>Pisum</w:t>
      </w:r>
      <w:proofErr w:type="spellEnd"/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proofErr w:type="spellStart"/>
      <w:r w:rsidRPr="00A1049D">
        <w:rPr>
          <w:rFonts w:asciiTheme="majorBidi" w:hAnsiTheme="majorBidi" w:cstheme="majorBidi"/>
          <w:i/>
          <w:iCs/>
          <w:color w:val="000000"/>
          <w:sz w:val="24"/>
          <w:szCs w:val="24"/>
        </w:rPr>
        <w:t>sativum</w:t>
      </w:r>
      <w:proofErr w:type="spellEnd"/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EF3E8E">
        <w:rPr>
          <w:rFonts w:asciiTheme="majorBidi" w:hAnsiTheme="majorBidi" w:cstheme="majorBidi"/>
          <w:color w:val="000000"/>
          <w:sz w:val="24"/>
          <w:szCs w:val="24"/>
        </w:rPr>
        <w:t xml:space="preserve">peuvent être la source d'un grand nombre de </w:t>
      </w:r>
      <w:proofErr w:type="spellStart"/>
      <w:r w:rsidRPr="00EF3E8E">
        <w:rPr>
          <w:rFonts w:asciiTheme="majorBidi" w:hAnsiTheme="majorBidi" w:cstheme="majorBidi"/>
          <w:color w:val="000000"/>
          <w:sz w:val="24"/>
          <w:szCs w:val="24"/>
        </w:rPr>
        <w:t>biomarqueurs</w:t>
      </w:r>
      <w:proofErr w:type="spellEnd"/>
      <w:r w:rsidRPr="00EF3E8E">
        <w:rPr>
          <w:rFonts w:asciiTheme="majorBidi" w:hAnsiTheme="majorBidi" w:cstheme="majorBidi"/>
          <w:color w:val="000000"/>
          <w:sz w:val="24"/>
          <w:szCs w:val="24"/>
        </w:rPr>
        <w:t xml:space="preserve"> potentiels de tolérance aux stress chimiques en situation réelle de terrain (milieux chroniquement pollués, 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protocoles de </w:t>
      </w:r>
      <w:proofErr w:type="spellStart"/>
      <w:r>
        <w:rPr>
          <w:rFonts w:asciiTheme="majorBidi" w:hAnsiTheme="majorBidi" w:cstheme="majorBidi"/>
          <w:color w:val="000000"/>
          <w:sz w:val="24"/>
          <w:szCs w:val="24"/>
        </w:rPr>
        <w:t>phytoremédiation</w:t>
      </w:r>
      <w:proofErr w:type="spellEnd"/>
      <w:r>
        <w:rPr>
          <w:rFonts w:asciiTheme="majorBidi" w:hAnsiTheme="majorBidi" w:cstheme="majorBidi"/>
          <w:color w:val="000000"/>
          <w:sz w:val="24"/>
          <w:szCs w:val="24"/>
        </w:rPr>
        <w:t>)</w:t>
      </w:r>
      <w:r w:rsidRPr="00EF3E8E">
        <w:rPr>
          <w:rFonts w:asciiTheme="majorBidi" w:hAnsiTheme="majorBidi" w:cstheme="majorBidi"/>
          <w:color w:val="000000"/>
          <w:sz w:val="24"/>
          <w:szCs w:val="24"/>
        </w:rPr>
        <w:t xml:space="preserve">. Dans cette optique, </w:t>
      </w:r>
      <w:proofErr w:type="spellStart"/>
      <w:r w:rsidRPr="00EF3E8E">
        <w:rPr>
          <w:rFonts w:asciiTheme="majorBidi" w:hAnsiTheme="majorBidi" w:cstheme="majorBidi"/>
          <w:i/>
          <w:iCs/>
          <w:color w:val="000000"/>
          <w:sz w:val="24"/>
          <w:szCs w:val="24"/>
        </w:rPr>
        <w:t>Pisum</w:t>
      </w:r>
      <w:proofErr w:type="spellEnd"/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proofErr w:type="spellStart"/>
      <w:r w:rsidRPr="00EF3E8E">
        <w:rPr>
          <w:rFonts w:asciiTheme="majorBidi" w:hAnsiTheme="majorBidi" w:cstheme="majorBidi"/>
          <w:i/>
          <w:iCs/>
          <w:color w:val="000000"/>
          <w:sz w:val="24"/>
          <w:szCs w:val="24"/>
        </w:rPr>
        <w:t>sativum</w:t>
      </w:r>
      <w:proofErr w:type="spellEnd"/>
      <w:r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EF3E8E">
        <w:rPr>
          <w:rFonts w:asciiTheme="majorBidi" w:hAnsiTheme="majorBidi" w:cstheme="majorBidi"/>
          <w:color w:val="000000"/>
          <w:sz w:val="24"/>
          <w:szCs w:val="24"/>
        </w:rPr>
        <w:t xml:space="preserve">serait un modèle particulièrement intéressant, étant donné, d’une part son intérêt en agronomie et en </w:t>
      </w:r>
      <w:proofErr w:type="spellStart"/>
      <w:r w:rsidRPr="00EF3E8E">
        <w:rPr>
          <w:rFonts w:asciiTheme="majorBidi" w:hAnsiTheme="majorBidi" w:cstheme="majorBidi"/>
          <w:color w:val="000000"/>
          <w:sz w:val="24"/>
          <w:szCs w:val="24"/>
        </w:rPr>
        <w:t>remédiation</w:t>
      </w:r>
      <w:proofErr w:type="spellEnd"/>
      <w:r w:rsidRPr="00EF3E8E">
        <w:rPr>
          <w:rFonts w:asciiTheme="majorBidi" w:hAnsiTheme="majorBidi" w:cstheme="majorBidi"/>
          <w:color w:val="000000"/>
          <w:sz w:val="24"/>
          <w:szCs w:val="24"/>
        </w:rPr>
        <w:t>, et d’autre part son adaptabilité aux conditions contrôlées de laboratoire.</w:t>
      </w:r>
    </w:p>
    <w:p w:rsidR="00CA5A30" w:rsidRPr="00EF3E8E" w:rsidRDefault="00CA5A30" w:rsidP="00CA5A30">
      <w:pPr>
        <w:spacing w:after="0" w:line="360" w:lineRule="auto"/>
        <w:ind w:left="567" w:right="849"/>
        <w:jc w:val="both"/>
        <w:rPr>
          <w:rFonts w:ascii="Times New Roman" w:hAnsi="Times New Roman"/>
          <w:sz w:val="24"/>
          <w:szCs w:val="24"/>
        </w:rPr>
      </w:pPr>
    </w:p>
    <w:p w:rsidR="00CA5A30" w:rsidRDefault="00CA5A30"/>
    <w:sectPr w:rsidR="00CA5A30" w:rsidSect="00ED5E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A5A30"/>
    <w:rsid w:val="001218FC"/>
    <w:rsid w:val="004C5ABC"/>
    <w:rsid w:val="0089725B"/>
    <w:rsid w:val="00C76BF9"/>
    <w:rsid w:val="00CA5A30"/>
    <w:rsid w:val="00D23778"/>
    <w:rsid w:val="00ED5E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16"/>
        <w:sz w:val="16"/>
        <w:szCs w:val="16"/>
        <w:lang w:val="fr-FR" w:eastAsia="en-US" w:bidi="ar-SA"/>
      </w:rPr>
    </w:rPrDefault>
    <w:pPrDefault>
      <w:pPr>
        <w:spacing w:line="276" w:lineRule="auto"/>
        <w:ind w:right="596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5A30"/>
    <w:pPr>
      <w:spacing w:after="200"/>
      <w:ind w:right="0"/>
    </w:pPr>
    <w:rPr>
      <w:rFonts w:ascii="Calibri" w:eastAsia="Calibri" w:hAnsi="Calibri" w:cs="Times New Roman"/>
      <w:kern w:val="0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276</Words>
  <Characters>1574</Characters>
  <Application>Microsoft Office Word</Application>
  <DocSecurity>0</DocSecurity>
  <Lines>13</Lines>
  <Paragraphs>3</Paragraphs>
  <ScaleCrop>false</ScaleCrop>
  <Company/>
  <LinksUpToDate>false</LinksUpToDate>
  <CharactersWithSpaces>1847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YB</dc:creator>
  <cp:lastModifiedBy>traitement</cp:lastModifiedBy>
  <cp:revision>3</cp:revision>
  <dcterms:created xsi:type="dcterms:W3CDTF">2017-02-09T05:08:00Z</dcterms:created>
  <dcterms:modified xsi:type="dcterms:W3CDTF">2017-05-17T11:59:00Z</dcterms:modified>
</cp:coreProperties>
</file>