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03E" w:rsidRDefault="0047603E" w:rsidP="0047603E">
      <w:r>
        <w:t xml:space="preserve">Ce travail est une contribution à l'étude des composés phénoliques des feuilles </w:t>
      </w:r>
      <w:proofErr w:type="gramStart"/>
      <w:r>
        <w:t xml:space="preserve">de </w:t>
      </w:r>
      <w:proofErr w:type="spellStart"/>
      <w:r>
        <w:t>Inula</w:t>
      </w:r>
      <w:proofErr w:type="spellEnd"/>
      <w:proofErr w:type="gramEnd"/>
      <w:r>
        <w:t xml:space="preserve"> </w:t>
      </w:r>
      <w:proofErr w:type="spellStart"/>
      <w:r>
        <w:t>viscosa</w:t>
      </w:r>
      <w:proofErr w:type="spellEnd"/>
      <w:r>
        <w:t xml:space="preserve"> (L.) </w:t>
      </w:r>
      <w:proofErr w:type="spellStart"/>
      <w:r>
        <w:t>Aiton</w:t>
      </w:r>
      <w:proofErr w:type="spellEnd"/>
      <w:r>
        <w:t xml:space="preserve">, de la famille des </w:t>
      </w:r>
      <w:proofErr w:type="spellStart"/>
      <w:r>
        <w:t>Asteraceae</w:t>
      </w:r>
      <w:proofErr w:type="spellEnd"/>
      <w:r>
        <w:t xml:space="preserve">. Cette espèce a été choisie pour son intérêt thérapeutique et sa grande capacité </w:t>
      </w:r>
      <w:proofErr w:type="spellStart"/>
      <w:r>
        <w:t>antioxydante</w:t>
      </w:r>
      <w:proofErr w:type="spellEnd"/>
      <w:r>
        <w:t>.</w:t>
      </w:r>
    </w:p>
    <w:p w:rsidR="0047603E" w:rsidRDefault="0047603E" w:rsidP="0047603E">
      <w:r>
        <w:t xml:space="preserve">L'extraction des grandes familles de </w:t>
      </w:r>
      <w:proofErr w:type="spellStart"/>
      <w:r>
        <w:t>polyphénols</w:t>
      </w:r>
      <w:proofErr w:type="spellEnd"/>
      <w:r>
        <w:t xml:space="preserve"> par différents solvants (polaires et apolaires), nous a permis de :</w:t>
      </w:r>
    </w:p>
    <w:p w:rsidR="0047603E" w:rsidRDefault="0047603E" w:rsidP="0047603E">
      <w:r>
        <w:t>- quantifier par spectrophotométrie UV visibles les composés suivants (</w:t>
      </w:r>
      <w:proofErr w:type="spellStart"/>
      <w:r>
        <w:t>flavones</w:t>
      </w:r>
      <w:proofErr w:type="spellEnd"/>
      <w:r>
        <w:t>-</w:t>
      </w:r>
      <w:proofErr w:type="spellStart"/>
      <w:r>
        <w:t>flavonols</w:t>
      </w:r>
      <w:proofErr w:type="spellEnd"/>
      <w:r>
        <w:t xml:space="preserve">: 0.71 mg/g ± 0.23, C-glycosides: 0.41 mg/g ± 0.13, aglycones </w:t>
      </w:r>
      <w:proofErr w:type="spellStart"/>
      <w:r>
        <w:t>flavoniques</w:t>
      </w:r>
      <w:proofErr w:type="spellEnd"/>
      <w:r>
        <w:t xml:space="preserve"> libres: 0.62 mg/g ± 0.19 et hétérosides: 1.73mg/g ± 0.54).</w:t>
      </w:r>
    </w:p>
    <w:p w:rsidR="0047603E" w:rsidRDefault="0047603E" w:rsidP="0047603E">
      <w:r>
        <w:t xml:space="preserve">- révéler et identifier par Chromatographie sur Couche Mince (C.C.M), sur Papier (C.P) et par Chromatographie Liquide à Haute Performance (C.L.H.P), la composition phénolique de chaque famille à savoir: 5 </w:t>
      </w:r>
      <w:proofErr w:type="spellStart"/>
      <w:r>
        <w:t>flavones</w:t>
      </w:r>
      <w:proofErr w:type="spellEnd"/>
      <w:r>
        <w:t xml:space="preserve"> (</w:t>
      </w:r>
      <w:proofErr w:type="spellStart"/>
      <w:r>
        <w:t>Lutéoline</w:t>
      </w:r>
      <w:proofErr w:type="spellEnd"/>
      <w:r>
        <w:t xml:space="preserve">, </w:t>
      </w:r>
      <w:proofErr w:type="spellStart"/>
      <w:r>
        <w:t>Chrysoeriol</w:t>
      </w:r>
      <w:proofErr w:type="spellEnd"/>
      <w:r>
        <w:t xml:space="preserve">, </w:t>
      </w:r>
      <w:proofErr w:type="spellStart"/>
      <w:r>
        <w:t>Tricine</w:t>
      </w:r>
      <w:proofErr w:type="spellEnd"/>
      <w:r>
        <w:t xml:space="preserve">, </w:t>
      </w:r>
      <w:proofErr w:type="spellStart"/>
      <w:r>
        <w:t>Naringénine</w:t>
      </w:r>
      <w:proofErr w:type="spellEnd"/>
      <w:r>
        <w:t xml:space="preserve"> et </w:t>
      </w:r>
      <w:proofErr w:type="spellStart"/>
      <w:r>
        <w:t>Apigénine</w:t>
      </w:r>
      <w:proofErr w:type="spellEnd"/>
      <w:r>
        <w:t xml:space="preserve">), 5 </w:t>
      </w:r>
      <w:proofErr w:type="spellStart"/>
      <w:r>
        <w:t>flavonols</w:t>
      </w:r>
      <w:proofErr w:type="spellEnd"/>
      <w:r>
        <w:t xml:space="preserve"> (</w:t>
      </w:r>
      <w:proofErr w:type="spellStart"/>
      <w:r>
        <w:t>Isorhamnétine</w:t>
      </w:r>
      <w:proofErr w:type="spellEnd"/>
      <w:r>
        <w:t xml:space="preserve">, </w:t>
      </w:r>
      <w:proofErr w:type="spellStart"/>
      <w:r>
        <w:t>Quercétine</w:t>
      </w:r>
      <w:proofErr w:type="spellEnd"/>
      <w:r>
        <w:t xml:space="preserve">, </w:t>
      </w:r>
      <w:proofErr w:type="spellStart"/>
      <w:r>
        <w:t>Rhamnocitrine</w:t>
      </w:r>
      <w:proofErr w:type="spellEnd"/>
      <w:r>
        <w:t xml:space="preserve">, </w:t>
      </w:r>
      <w:proofErr w:type="spellStart"/>
      <w:r>
        <w:t>Rhamnétine</w:t>
      </w:r>
      <w:proofErr w:type="spellEnd"/>
      <w:r>
        <w:t xml:space="preserve"> et </w:t>
      </w:r>
      <w:proofErr w:type="spellStart"/>
      <w:r>
        <w:t>Kaempférol</w:t>
      </w:r>
      <w:proofErr w:type="spellEnd"/>
      <w:r>
        <w:t xml:space="preserve">), 2 </w:t>
      </w:r>
      <w:proofErr w:type="spellStart"/>
      <w:r>
        <w:t>flavanonols</w:t>
      </w:r>
      <w:proofErr w:type="spellEnd"/>
      <w:r>
        <w:t xml:space="preserve"> (</w:t>
      </w:r>
      <w:proofErr w:type="spellStart"/>
      <w:r>
        <w:t>Taxifoline</w:t>
      </w:r>
      <w:proofErr w:type="spellEnd"/>
      <w:r>
        <w:t xml:space="preserve"> et </w:t>
      </w:r>
      <w:proofErr w:type="spellStart"/>
      <w:r>
        <w:t>Taxifoline</w:t>
      </w:r>
      <w:proofErr w:type="spellEnd"/>
      <w:r>
        <w:t xml:space="preserve"> 7 </w:t>
      </w:r>
      <w:proofErr w:type="spellStart"/>
      <w:r>
        <w:t>méthyl</w:t>
      </w:r>
      <w:proofErr w:type="spellEnd"/>
      <w:r>
        <w:t xml:space="preserve">), 6 acides phénols de la série cinnamique (Acide caféique, Acide </w:t>
      </w:r>
      <w:proofErr w:type="spellStart"/>
      <w:r>
        <w:t>chlorogénique</w:t>
      </w:r>
      <w:proofErr w:type="spellEnd"/>
      <w:r>
        <w:t xml:space="preserve"> et ses trois isomères: Acide </w:t>
      </w:r>
      <w:proofErr w:type="spellStart"/>
      <w:r>
        <w:t>dicafeoyl</w:t>
      </w:r>
      <w:proofErr w:type="spellEnd"/>
      <w:r>
        <w:t xml:space="preserve"> 4-5 </w:t>
      </w:r>
      <w:proofErr w:type="spellStart"/>
      <w:r>
        <w:t>quinique</w:t>
      </w:r>
      <w:proofErr w:type="spellEnd"/>
      <w:r>
        <w:t xml:space="preserve">, Acide </w:t>
      </w:r>
      <w:proofErr w:type="spellStart"/>
      <w:r>
        <w:t>dicafeoyl</w:t>
      </w:r>
      <w:proofErr w:type="spellEnd"/>
      <w:r>
        <w:t xml:space="preserve"> 3-5 </w:t>
      </w:r>
      <w:proofErr w:type="spellStart"/>
      <w:r>
        <w:t>quinique</w:t>
      </w:r>
      <w:proofErr w:type="spellEnd"/>
      <w:r>
        <w:t xml:space="preserve">, Acide </w:t>
      </w:r>
      <w:proofErr w:type="spellStart"/>
      <w:r>
        <w:t>dicafeoyl</w:t>
      </w:r>
      <w:proofErr w:type="spellEnd"/>
      <w:r>
        <w:t xml:space="preserve"> 3-4 </w:t>
      </w:r>
      <w:proofErr w:type="spellStart"/>
      <w:r>
        <w:t>quinique</w:t>
      </w:r>
      <w:proofErr w:type="spellEnd"/>
      <w:r>
        <w:t xml:space="preserve"> et l’Acide </w:t>
      </w:r>
      <w:proofErr w:type="spellStart"/>
      <w:r>
        <w:t>coumarique</w:t>
      </w:r>
      <w:proofErr w:type="spellEnd"/>
      <w:r>
        <w:t>.), 11 C-glycosides (Mono-C-</w:t>
      </w:r>
      <w:proofErr w:type="spellStart"/>
      <w:r>
        <w:t>Tricine</w:t>
      </w:r>
      <w:proofErr w:type="spellEnd"/>
      <w:r>
        <w:t>, Mono-C-</w:t>
      </w:r>
      <w:proofErr w:type="spellStart"/>
      <w:r>
        <w:t>Lutéoline</w:t>
      </w:r>
      <w:proofErr w:type="spellEnd"/>
      <w:r>
        <w:t xml:space="preserve"> (</w:t>
      </w:r>
      <w:proofErr w:type="spellStart"/>
      <w:r>
        <w:t>Orientine</w:t>
      </w:r>
      <w:proofErr w:type="spellEnd"/>
      <w:r>
        <w:t>), Mono-C-</w:t>
      </w:r>
      <w:proofErr w:type="spellStart"/>
      <w:r>
        <w:t>Lutéoline</w:t>
      </w:r>
      <w:proofErr w:type="spellEnd"/>
      <w:r>
        <w:t xml:space="preserve"> (Iso-</w:t>
      </w:r>
      <w:proofErr w:type="spellStart"/>
      <w:r>
        <w:t>orientine</w:t>
      </w:r>
      <w:proofErr w:type="spellEnd"/>
      <w:r>
        <w:t>) Mono-C-</w:t>
      </w:r>
      <w:proofErr w:type="spellStart"/>
      <w:r>
        <w:t>Apigénine</w:t>
      </w:r>
      <w:proofErr w:type="spellEnd"/>
      <w:r>
        <w:t xml:space="preserve"> (</w:t>
      </w:r>
      <w:proofErr w:type="spellStart"/>
      <w:r>
        <w:t>Vitexine</w:t>
      </w:r>
      <w:proofErr w:type="spellEnd"/>
      <w:r>
        <w:t>), Di-C-</w:t>
      </w:r>
      <w:proofErr w:type="spellStart"/>
      <w:r>
        <w:t>Lutéoline</w:t>
      </w:r>
      <w:proofErr w:type="spellEnd"/>
      <w:r>
        <w:t>, Di-C-</w:t>
      </w:r>
      <w:proofErr w:type="spellStart"/>
      <w:r>
        <w:t>Apigénine</w:t>
      </w:r>
      <w:proofErr w:type="spellEnd"/>
      <w:r>
        <w:t>, Mono-C-</w:t>
      </w:r>
      <w:proofErr w:type="spellStart"/>
      <w:r>
        <w:t>Apigénine</w:t>
      </w:r>
      <w:proofErr w:type="spellEnd"/>
      <w:r>
        <w:t xml:space="preserve"> (</w:t>
      </w:r>
      <w:proofErr w:type="spellStart"/>
      <w:r>
        <w:t>Isovitexine</w:t>
      </w:r>
      <w:proofErr w:type="spellEnd"/>
      <w:r>
        <w:t>), Mono-C-</w:t>
      </w:r>
      <w:proofErr w:type="spellStart"/>
      <w:r>
        <w:t>Quercétine</w:t>
      </w:r>
      <w:proofErr w:type="spellEnd"/>
      <w:r>
        <w:t>, Mono-C-</w:t>
      </w:r>
      <w:proofErr w:type="spellStart"/>
      <w:r>
        <w:t>Kaempférol</w:t>
      </w:r>
      <w:proofErr w:type="spellEnd"/>
      <w:r>
        <w:t>, Di-C-</w:t>
      </w:r>
      <w:proofErr w:type="spellStart"/>
      <w:r>
        <w:t>Apigénine</w:t>
      </w:r>
      <w:proofErr w:type="spellEnd"/>
      <w:r>
        <w:t xml:space="preserve"> (iso) et Di.-C-</w:t>
      </w:r>
      <w:proofErr w:type="spellStart"/>
      <w:r>
        <w:t>Tricine</w:t>
      </w:r>
      <w:proofErr w:type="spellEnd"/>
      <w:r>
        <w:t xml:space="preserve">) et 9 O-glycosides (Rutine, Galactoside 3 </w:t>
      </w:r>
      <w:proofErr w:type="spellStart"/>
      <w:r>
        <w:t>Isorhamnétine</w:t>
      </w:r>
      <w:proofErr w:type="spellEnd"/>
      <w:r>
        <w:t xml:space="preserve">, Galactoside 3 </w:t>
      </w:r>
      <w:proofErr w:type="spellStart"/>
      <w:r>
        <w:t>Quercétine</w:t>
      </w:r>
      <w:proofErr w:type="spellEnd"/>
      <w:r>
        <w:t xml:space="preserve">, </w:t>
      </w:r>
      <w:proofErr w:type="spellStart"/>
      <w:r>
        <w:t>Rhamnoside</w:t>
      </w:r>
      <w:proofErr w:type="spellEnd"/>
      <w:r>
        <w:t xml:space="preserve"> 7 </w:t>
      </w:r>
      <w:proofErr w:type="spellStart"/>
      <w:r>
        <w:t>Chrysoeriol</w:t>
      </w:r>
      <w:proofErr w:type="spellEnd"/>
      <w:r>
        <w:t xml:space="preserve">, </w:t>
      </w:r>
      <w:proofErr w:type="spellStart"/>
      <w:r>
        <w:t>Rhamnoglycoside</w:t>
      </w:r>
      <w:proofErr w:type="spellEnd"/>
      <w:r>
        <w:t xml:space="preserve"> 7 </w:t>
      </w:r>
      <w:proofErr w:type="spellStart"/>
      <w:r>
        <w:t>Tricine</w:t>
      </w:r>
      <w:proofErr w:type="spellEnd"/>
      <w:r>
        <w:t xml:space="preserve">, Glucoside 7 </w:t>
      </w:r>
      <w:proofErr w:type="spellStart"/>
      <w:r>
        <w:t>Chrysoeriol</w:t>
      </w:r>
      <w:proofErr w:type="spellEnd"/>
      <w:r>
        <w:t xml:space="preserve">, Glucoside 7 </w:t>
      </w:r>
      <w:proofErr w:type="spellStart"/>
      <w:r>
        <w:t>Tricine</w:t>
      </w:r>
      <w:proofErr w:type="spellEnd"/>
      <w:r>
        <w:t xml:space="preserve">, Glucoside 7 </w:t>
      </w:r>
      <w:proofErr w:type="spellStart"/>
      <w:r>
        <w:t>Isorhamnétine</w:t>
      </w:r>
      <w:proofErr w:type="spellEnd"/>
      <w:r>
        <w:t xml:space="preserve"> et Glucoside 7 </w:t>
      </w:r>
      <w:proofErr w:type="spellStart"/>
      <w:r>
        <w:t>Lutéoline</w:t>
      </w:r>
      <w:proofErr w:type="spellEnd"/>
      <w:r>
        <w:t>). Aucun anthocyane n'a été révélé.</w:t>
      </w:r>
    </w:p>
    <w:p w:rsidR="0047603E" w:rsidRDefault="0047603E" w:rsidP="0047603E">
      <w:r>
        <w:t xml:space="preserve">Les résultats de la recherche de la diversité </w:t>
      </w:r>
      <w:proofErr w:type="spellStart"/>
      <w:r>
        <w:t>polyphénolique</w:t>
      </w:r>
      <w:proofErr w:type="spellEnd"/>
      <w:r>
        <w:t xml:space="preserve"> </w:t>
      </w:r>
      <w:proofErr w:type="spellStart"/>
      <w:r>
        <w:t>intraspécifique</w:t>
      </w:r>
      <w:proofErr w:type="spellEnd"/>
      <w:r>
        <w:t xml:space="preserve"> ont montré que les individus étudiés se répartissent en quatre </w:t>
      </w:r>
      <w:proofErr w:type="spellStart"/>
      <w:r>
        <w:t>chémotypes</w:t>
      </w:r>
      <w:proofErr w:type="spellEnd"/>
      <w:r>
        <w:t xml:space="preserve"> distincts ce qui dénoterait d’une éventuelle présence de clones dans l'espèce </w:t>
      </w:r>
      <w:proofErr w:type="spellStart"/>
      <w:r>
        <w:t>Inula</w:t>
      </w:r>
      <w:proofErr w:type="spellEnd"/>
      <w:r>
        <w:t xml:space="preserve"> </w:t>
      </w:r>
      <w:proofErr w:type="spellStart"/>
      <w:r>
        <w:t>viscosa</w:t>
      </w:r>
      <w:proofErr w:type="spellEnd"/>
      <w:r>
        <w:t xml:space="preserve"> (L.).</w:t>
      </w:r>
    </w:p>
    <w:p w:rsidR="00417B34" w:rsidRPr="0047603E" w:rsidRDefault="0047603E" w:rsidP="0047603E">
      <w:r>
        <w:t xml:space="preserve">Les tests microbiologiques et pharmacologiques ont montré que: les composés phénoliques de </w:t>
      </w:r>
      <w:proofErr w:type="spellStart"/>
      <w:r>
        <w:t>Inula</w:t>
      </w:r>
      <w:proofErr w:type="spellEnd"/>
      <w:r>
        <w:t xml:space="preserve"> </w:t>
      </w:r>
      <w:proofErr w:type="spellStart"/>
      <w:r>
        <w:t>viscosa</w:t>
      </w:r>
      <w:proofErr w:type="spellEnd"/>
      <w:r>
        <w:t xml:space="preserve"> (L.) possèdent une activité antibactérienne et antifongique, un pouvoir cicatrisant sur les plaies d'excision chez la souris. L'effet </w:t>
      </w:r>
      <w:proofErr w:type="spellStart"/>
      <w:r>
        <w:t>antiulcérogénique</w:t>
      </w:r>
      <w:proofErr w:type="spellEnd"/>
      <w:r>
        <w:t xml:space="preserve"> est du à la composition </w:t>
      </w:r>
      <w:proofErr w:type="spellStart"/>
      <w:r>
        <w:t>flavonique</w:t>
      </w:r>
      <w:proofErr w:type="spellEnd"/>
      <w:r>
        <w:t>.</w:t>
      </w:r>
    </w:p>
    <w:sectPr w:rsidR="00417B34" w:rsidRPr="0047603E" w:rsidSect="00417B3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D3F3E"/>
    <w:rsid w:val="00417B34"/>
    <w:rsid w:val="0047603E"/>
    <w:rsid w:val="00C80AA5"/>
    <w:rsid w:val="00ED3F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B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349</Words>
  <Characters>1920</Characters>
  <Application>Microsoft Office Word</Application>
  <DocSecurity>0</DocSecurity>
  <Lines>16</Lines>
  <Paragraphs>4</Paragraphs>
  <ScaleCrop>false</ScaleCrop>
  <Company/>
  <LinksUpToDate>false</LinksUpToDate>
  <CharactersWithSpaces>2265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3</cp:revision>
  <dcterms:created xsi:type="dcterms:W3CDTF">2015-03-22T09:17:00Z</dcterms:created>
  <dcterms:modified xsi:type="dcterms:W3CDTF">2015-03-22T09:57:00Z</dcterms:modified>
</cp:coreProperties>
</file>