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83C38" w:rsidRPr="00183C38" w:rsidRDefault="00183C38" w:rsidP="00183C38">
      <w:pPr>
        <w:tabs>
          <w:tab w:val="left" w:pos="851"/>
        </w:tabs>
        <w:spacing w:before="0" w:after="0"/>
        <w:ind w:right="-459"/>
        <w:jc w:val="center"/>
        <w:rPr>
          <w:rFonts w:asciiTheme="majorBidi" w:hAnsiTheme="majorBidi" w:cstheme="majorBidi"/>
          <w:b/>
          <w:bCs/>
          <w:sz w:val="24"/>
          <w:szCs w:val="24"/>
        </w:rPr>
      </w:pPr>
      <w:r w:rsidRPr="00183C38">
        <w:rPr>
          <w:rFonts w:asciiTheme="majorBidi" w:hAnsiTheme="majorBidi" w:cstheme="majorBidi"/>
          <w:b/>
          <w:bCs/>
          <w:sz w:val="24"/>
          <w:szCs w:val="24"/>
        </w:rPr>
        <w:t>CONTRIBUTION A L’ETUDE DE LA CONVECTION THERMOSOLUTALE DANS DES ENCEINTES CONTENANT DES COUCHES POREUSES : CAS 3D D’UN ECOULEMENT DE POISEUILLE-RAYLEIGH-BENARD</w:t>
      </w:r>
    </w:p>
    <w:p w:rsidR="00183C38" w:rsidRDefault="00183C38" w:rsidP="00183C38">
      <w:pPr>
        <w:autoSpaceDE w:val="0"/>
        <w:autoSpaceDN w:val="0"/>
        <w:adjustRightInd w:val="0"/>
        <w:spacing w:after="0" w:line="240" w:lineRule="auto"/>
        <w:jc w:val="both"/>
        <w:rPr>
          <w:rFonts w:asciiTheme="majorBidi" w:hAnsiTheme="majorBidi" w:cstheme="majorBidi"/>
          <w:b/>
          <w:bCs/>
          <w:color w:val="000000" w:themeColor="text1"/>
          <w:sz w:val="24"/>
          <w:szCs w:val="24"/>
          <w:lang w:eastAsia="fr-FR"/>
        </w:rPr>
      </w:pPr>
    </w:p>
    <w:p w:rsidR="00183C38" w:rsidRPr="00E21A51" w:rsidRDefault="00183C38" w:rsidP="00183C38">
      <w:pPr>
        <w:autoSpaceDE w:val="0"/>
        <w:autoSpaceDN w:val="0"/>
        <w:adjustRightInd w:val="0"/>
        <w:spacing w:after="0" w:line="240" w:lineRule="auto"/>
        <w:jc w:val="both"/>
        <w:rPr>
          <w:rFonts w:asciiTheme="majorBidi" w:hAnsiTheme="majorBidi" w:cstheme="majorBidi"/>
          <w:color w:val="000000" w:themeColor="text1"/>
          <w:sz w:val="24"/>
          <w:szCs w:val="24"/>
        </w:rPr>
      </w:pPr>
      <w:r w:rsidRPr="00E21A51">
        <w:rPr>
          <w:rFonts w:asciiTheme="majorBidi" w:hAnsiTheme="majorBidi" w:cstheme="majorBidi"/>
          <w:b/>
          <w:bCs/>
          <w:color w:val="000000" w:themeColor="text1"/>
          <w:sz w:val="24"/>
          <w:szCs w:val="24"/>
          <w:lang w:eastAsia="fr-FR"/>
        </w:rPr>
        <w:t>Résumé </w:t>
      </w:r>
      <w:r>
        <w:rPr>
          <w:rFonts w:asciiTheme="majorBidi" w:hAnsiTheme="majorBidi" w:cstheme="majorBidi"/>
          <w:b/>
          <w:bCs/>
          <w:color w:val="000000" w:themeColor="text1"/>
          <w:sz w:val="24"/>
          <w:szCs w:val="24"/>
          <w:lang w:eastAsia="fr-FR"/>
        </w:rPr>
        <w:t xml:space="preserve">de thèse : </w:t>
      </w:r>
      <w:r w:rsidRPr="00E21A51">
        <w:rPr>
          <w:rFonts w:asciiTheme="majorBidi" w:hAnsiTheme="majorBidi" w:cstheme="majorBidi"/>
          <w:color w:val="000000" w:themeColor="text1"/>
          <w:sz w:val="24"/>
          <w:szCs w:val="24"/>
          <w:lang w:eastAsia="fr-FR"/>
        </w:rPr>
        <w:t>Ce travail se rapporte à une étude numérique 3D de la convection thermosolutale dans les canaux rectangulaires horizontaux. Elle porte essentiellement sur l’analyse des écoulements de type Poiseuille-Rayleigh-</w:t>
      </w:r>
      <w:proofErr w:type="spellStart"/>
      <w:r w:rsidRPr="00E21A51">
        <w:rPr>
          <w:rFonts w:asciiTheme="majorBidi" w:hAnsiTheme="majorBidi" w:cstheme="majorBidi"/>
          <w:color w:val="000000" w:themeColor="text1"/>
          <w:sz w:val="24"/>
          <w:szCs w:val="24"/>
          <w:lang w:eastAsia="fr-FR"/>
        </w:rPr>
        <w:t>Benard</w:t>
      </w:r>
      <w:proofErr w:type="spellEnd"/>
      <w:r w:rsidRPr="00E21A51">
        <w:rPr>
          <w:rFonts w:asciiTheme="majorBidi" w:hAnsiTheme="majorBidi" w:cstheme="majorBidi"/>
          <w:color w:val="000000" w:themeColor="text1"/>
          <w:sz w:val="24"/>
          <w:szCs w:val="24"/>
          <w:lang w:eastAsia="fr-FR"/>
        </w:rPr>
        <w:t xml:space="preserve"> (PRB). Son originalité consiste à caractériser le déplacement et la forme des rouleaux  longitudinaux et à généraliser le comportement des systèmes de PRB dans le cas de la convection mixte où les effets de poussée sont à la fois d'origine thermique et massique. </w:t>
      </w:r>
    </w:p>
    <w:p w:rsidR="00183C38" w:rsidRPr="00E21A51" w:rsidRDefault="00183C38" w:rsidP="00183C38">
      <w:pPr>
        <w:autoSpaceDE w:val="0"/>
        <w:autoSpaceDN w:val="0"/>
        <w:adjustRightInd w:val="0"/>
        <w:spacing w:after="0" w:line="240" w:lineRule="auto"/>
        <w:jc w:val="both"/>
        <w:rPr>
          <w:rFonts w:asciiTheme="majorBidi" w:hAnsiTheme="majorBidi" w:cstheme="majorBidi"/>
          <w:color w:val="000000" w:themeColor="text1"/>
          <w:sz w:val="24"/>
          <w:szCs w:val="24"/>
          <w:lang w:eastAsia="fr-FR"/>
        </w:rPr>
      </w:pPr>
      <w:r w:rsidRPr="00E21A51">
        <w:rPr>
          <w:rFonts w:asciiTheme="majorBidi" w:hAnsiTheme="majorBidi" w:cstheme="majorBidi"/>
          <w:color w:val="000000" w:themeColor="text1"/>
          <w:sz w:val="24"/>
          <w:szCs w:val="24"/>
          <w:lang w:eastAsia="fr-FR"/>
        </w:rPr>
        <w:t xml:space="preserve">Les investigations menées ont permis d’analyser la naissance des rouleaux  longitudinaux R// dans </w:t>
      </w:r>
      <w:r>
        <w:rPr>
          <w:rFonts w:asciiTheme="majorBidi" w:hAnsiTheme="majorBidi" w:cstheme="majorBidi"/>
          <w:color w:val="000000" w:themeColor="text1"/>
          <w:sz w:val="24"/>
          <w:szCs w:val="24"/>
          <w:lang w:eastAsia="fr-FR"/>
        </w:rPr>
        <w:t xml:space="preserve">le cas de convection mixte purement thermique </w:t>
      </w:r>
      <w:r w:rsidRPr="005F756F">
        <w:rPr>
          <w:rFonts w:asciiTheme="majorBidi" w:hAnsiTheme="majorBidi" w:cstheme="majorBidi"/>
          <w:b/>
          <w:bCs/>
          <w:i/>
          <w:iCs/>
          <w:color w:val="000000" w:themeColor="text1"/>
          <w:sz w:val="24"/>
          <w:szCs w:val="24"/>
          <w:lang w:eastAsia="fr-FR"/>
        </w:rPr>
        <w:t>(TMC)</w:t>
      </w:r>
      <w:r>
        <w:rPr>
          <w:rFonts w:asciiTheme="majorBidi" w:hAnsiTheme="majorBidi" w:cstheme="majorBidi"/>
          <w:color w:val="000000" w:themeColor="text1"/>
          <w:sz w:val="24"/>
          <w:szCs w:val="24"/>
          <w:lang w:eastAsia="fr-FR"/>
        </w:rPr>
        <w:t xml:space="preserve"> ainsi que pour le cas thermosolutale </w:t>
      </w:r>
      <w:r w:rsidRPr="005F756F">
        <w:rPr>
          <w:rFonts w:asciiTheme="majorBidi" w:hAnsiTheme="majorBidi" w:cstheme="majorBidi"/>
          <w:b/>
          <w:bCs/>
          <w:i/>
          <w:iCs/>
          <w:color w:val="000000" w:themeColor="text1"/>
          <w:sz w:val="24"/>
          <w:szCs w:val="24"/>
          <w:lang w:eastAsia="fr-FR"/>
        </w:rPr>
        <w:t>(TSMC)</w:t>
      </w:r>
      <w:r>
        <w:rPr>
          <w:rFonts w:asciiTheme="majorBidi" w:hAnsiTheme="majorBidi" w:cstheme="majorBidi"/>
          <w:color w:val="000000" w:themeColor="text1"/>
          <w:sz w:val="24"/>
          <w:szCs w:val="24"/>
          <w:lang w:eastAsia="fr-FR"/>
        </w:rPr>
        <w:t>.</w:t>
      </w:r>
      <w:r w:rsidRPr="00E21A51">
        <w:rPr>
          <w:rFonts w:asciiTheme="majorBidi" w:hAnsiTheme="majorBidi" w:cstheme="majorBidi"/>
          <w:color w:val="000000" w:themeColor="text1"/>
          <w:sz w:val="24"/>
          <w:szCs w:val="24"/>
          <w:lang w:eastAsia="fr-FR"/>
        </w:rPr>
        <w:t xml:space="preserve"> </w:t>
      </w:r>
      <w:r>
        <w:rPr>
          <w:rFonts w:asciiTheme="majorBidi" w:hAnsiTheme="majorBidi" w:cstheme="majorBidi"/>
          <w:color w:val="000000" w:themeColor="text1"/>
          <w:sz w:val="24"/>
          <w:szCs w:val="24"/>
          <w:lang w:eastAsia="fr-FR"/>
        </w:rPr>
        <w:t>L</w:t>
      </w:r>
      <w:r w:rsidRPr="00E21A51">
        <w:rPr>
          <w:rFonts w:asciiTheme="majorBidi" w:hAnsiTheme="majorBidi" w:cstheme="majorBidi"/>
          <w:color w:val="000000" w:themeColor="text1"/>
          <w:sz w:val="24"/>
          <w:szCs w:val="24"/>
          <w:lang w:eastAsia="fr-FR"/>
        </w:rPr>
        <w:t xml:space="preserve">e passage du cas de forces de volume opposées au cas coopérant, pour des nombres de Rayleigh (Ra), de </w:t>
      </w:r>
      <w:r>
        <w:rPr>
          <w:rFonts w:asciiTheme="majorBidi" w:hAnsiTheme="majorBidi" w:cstheme="majorBidi"/>
          <w:color w:val="000000" w:themeColor="text1"/>
          <w:sz w:val="24"/>
          <w:szCs w:val="24"/>
          <w:lang w:eastAsia="fr-FR"/>
        </w:rPr>
        <w:t>Re</w:t>
      </w:r>
      <w:r w:rsidR="001C2C6E">
        <w:rPr>
          <w:rFonts w:asciiTheme="majorBidi" w:hAnsiTheme="majorBidi" w:cstheme="majorBidi"/>
          <w:color w:val="000000" w:themeColor="text1"/>
          <w:sz w:val="24"/>
          <w:szCs w:val="24"/>
          <w:lang w:eastAsia="fr-FR"/>
        </w:rPr>
        <w:t>y</w:t>
      </w:r>
      <w:r>
        <w:rPr>
          <w:rFonts w:asciiTheme="majorBidi" w:hAnsiTheme="majorBidi" w:cstheme="majorBidi"/>
          <w:color w:val="000000" w:themeColor="text1"/>
          <w:sz w:val="24"/>
          <w:szCs w:val="24"/>
          <w:lang w:eastAsia="fr-FR"/>
        </w:rPr>
        <w:t>nolds</w:t>
      </w:r>
      <w:r w:rsidRPr="00E21A51">
        <w:rPr>
          <w:rFonts w:asciiTheme="majorBidi" w:hAnsiTheme="majorBidi" w:cstheme="majorBidi"/>
          <w:color w:val="000000" w:themeColor="text1"/>
          <w:sz w:val="24"/>
          <w:szCs w:val="24"/>
          <w:lang w:eastAsia="fr-FR"/>
        </w:rPr>
        <w:t xml:space="preserve"> (</w:t>
      </w:r>
      <w:r>
        <w:rPr>
          <w:rFonts w:asciiTheme="majorBidi" w:hAnsiTheme="majorBidi" w:cstheme="majorBidi"/>
          <w:color w:val="000000" w:themeColor="text1"/>
          <w:sz w:val="24"/>
          <w:szCs w:val="24"/>
          <w:lang w:eastAsia="fr-FR"/>
        </w:rPr>
        <w:t>Re</w:t>
      </w:r>
      <w:r w:rsidRPr="00E21A51">
        <w:rPr>
          <w:rFonts w:asciiTheme="majorBidi" w:hAnsiTheme="majorBidi" w:cstheme="majorBidi"/>
          <w:color w:val="000000" w:themeColor="text1"/>
          <w:sz w:val="24"/>
          <w:szCs w:val="24"/>
          <w:lang w:eastAsia="fr-FR"/>
        </w:rPr>
        <w:t xml:space="preserve">) et de Lewis (Le) fixés, affecte considérablement la naissance et le développement de ces rouleaux. La distribution du transfert de chaleur et de la masse est également affectée par les forces de poussée. </w:t>
      </w:r>
    </w:p>
    <w:p w:rsidR="00183C38" w:rsidRPr="00E21A51" w:rsidRDefault="00183C38" w:rsidP="00183C38">
      <w:pPr>
        <w:autoSpaceDE w:val="0"/>
        <w:autoSpaceDN w:val="0"/>
        <w:adjustRightInd w:val="0"/>
        <w:spacing w:after="0" w:line="240" w:lineRule="auto"/>
        <w:jc w:val="both"/>
        <w:rPr>
          <w:rFonts w:asciiTheme="majorBidi" w:hAnsiTheme="majorBidi" w:cstheme="majorBidi"/>
          <w:color w:val="000000" w:themeColor="text1"/>
          <w:sz w:val="24"/>
          <w:szCs w:val="24"/>
          <w:lang w:eastAsia="fr-FR"/>
        </w:rPr>
      </w:pPr>
      <w:r w:rsidRPr="00E21A51">
        <w:rPr>
          <w:rFonts w:asciiTheme="majorBidi" w:hAnsiTheme="majorBidi" w:cstheme="majorBidi"/>
          <w:color w:val="000000" w:themeColor="text1"/>
          <w:sz w:val="24"/>
          <w:szCs w:val="24"/>
          <w:lang w:eastAsia="fr-FR"/>
        </w:rPr>
        <w:t xml:space="preserve">L’introduction de substrats poreux au sein du canal est ensuite considérée. L’insertion d’une  </w:t>
      </w:r>
      <w:r w:rsidRPr="00E21A51">
        <w:rPr>
          <w:rFonts w:asciiTheme="majorBidi" w:hAnsiTheme="majorBidi" w:cstheme="majorBidi"/>
          <w:color w:val="000000" w:themeColor="text1"/>
          <w:sz w:val="24"/>
          <w:szCs w:val="24"/>
        </w:rPr>
        <w:t xml:space="preserve">matrice poreuse va créer une hétérogénéité qui va induire un changement dans la dynamique de circulation du fluide.  Pour un large éventail de paramètres sans dimension, qui contrôlent la convection mixte, nous montrons que l'effet de l'insertion du bloc poreux affecte les couches limites thermiques et </w:t>
      </w:r>
      <w:proofErr w:type="spellStart"/>
      <w:r w:rsidRPr="00E21A51">
        <w:rPr>
          <w:rFonts w:asciiTheme="majorBidi" w:hAnsiTheme="majorBidi" w:cstheme="majorBidi"/>
          <w:color w:val="000000" w:themeColor="text1"/>
          <w:sz w:val="24"/>
          <w:szCs w:val="24"/>
        </w:rPr>
        <w:t>solutales</w:t>
      </w:r>
      <w:proofErr w:type="spellEnd"/>
      <w:r w:rsidRPr="00E21A51">
        <w:rPr>
          <w:rFonts w:asciiTheme="majorBidi" w:hAnsiTheme="majorBidi" w:cstheme="majorBidi"/>
          <w:color w:val="000000" w:themeColor="text1"/>
          <w:sz w:val="24"/>
          <w:szCs w:val="24"/>
        </w:rPr>
        <w:t> ; nous décrivons, également, l'apparition des rouleaux longitudinaux à la fois en amont et en aval de la région poreuse. Et enfin, nous avons comparé le transfert de chaleur, pour un positionnement différent du milieu poreux avec la convection purement fluide mixte</w:t>
      </w:r>
      <w:r w:rsidRPr="00E21A51">
        <w:rPr>
          <w:rFonts w:asciiTheme="majorBidi" w:hAnsiTheme="majorBidi" w:cstheme="majorBidi"/>
          <w:color w:val="000000" w:themeColor="text1"/>
          <w:sz w:val="24"/>
          <w:szCs w:val="24"/>
          <w:lang w:eastAsia="fr-FR"/>
        </w:rPr>
        <w:t>.</w:t>
      </w:r>
    </w:p>
    <w:p w:rsidR="00183C38" w:rsidRPr="00E21A51" w:rsidRDefault="00183C38" w:rsidP="00183C38">
      <w:pPr>
        <w:autoSpaceDE w:val="0"/>
        <w:autoSpaceDN w:val="0"/>
        <w:adjustRightInd w:val="0"/>
        <w:spacing w:after="0" w:line="240" w:lineRule="auto"/>
        <w:jc w:val="both"/>
        <w:rPr>
          <w:rFonts w:asciiTheme="majorBidi" w:hAnsiTheme="majorBidi" w:cstheme="majorBidi"/>
          <w:color w:val="000000" w:themeColor="text1"/>
          <w:sz w:val="24"/>
          <w:szCs w:val="24"/>
          <w:lang w:eastAsia="fr-FR"/>
        </w:rPr>
      </w:pPr>
      <w:r w:rsidRPr="00E21A51">
        <w:rPr>
          <w:rFonts w:asciiTheme="majorBidi" w:hAnsiTheme="majorBidi" w:cstheme="majorBidi"/>
          <w:color w:val="000000" w:themeColor="text1"/>
          <w:sz w:val="24"/>
          <w:szCs w:val="24"/>
          <w:lang w:eastAsia="fr-FR"/>
        </w:rPr>
        <w:t xml:space="preserve">Mots clés : Convection mixe, écoulement de PRB, milieux poreux, méthode </w:t>
      </w:r>
      <w:proofErr w:type="spellStart"/>
      <w:r w:rsidRPr="00E21A51">
        <w:rPr>
          <w:rFonts w:asciiTheme="majorBidi" w:hAnsiTheme="majorBidi" w:cstheme="majorBidi"/>
          <w:color w:val="000000" w:themeColor="text1"/>
          <w:sz w:val="24"/>
          <w:szCs w:val="24"/>
          <w:lang w:eastAsia="fr-FR"/>
        </w:rPr>
        <w:t>multigrille</w:t>
      </w:r>
      <w:proofErr w:type="spellEnd"/>
    </w:p>
    <w:p w:rsidR="00304B67" w:rsidRDefault="001C2C6E"/>
    <w:sectPr w:rsidR="00304B67" w:rsidSect="00F41468">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EF" w:usb1="C0007841"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183C38"/>
    <w:rsid w:val="00183C38"/>
    <w:rsid w:val="001C2C6E"/>
    <w:rsid w:val="003A5DEA"/>
    <w:rsid w:val="003D7D05"/>
    <w:rsid w:val="007F2758"/>
    <w:rsid w:val="00AA3B21"/>
    <w:rsid w:val="00F4146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83C38"/>
    <w:pPr>
      <w:spacing w:before="240" w:after="60"/>
      <w:jc w:val="right"/>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298</Words>
  <Characters>1639</Characters>
  <Application>Microsoft Office Word</Application>
  <DocSecurity>0</DocSecurity>
  <Lines>13</Lines>
  <Paragraphs>3</Paragraphs>
  <ScaleCrop>false</ScaleCrop>
  <Company>TOSHIBA</Company>
  <LinksUpToDate>false</LinksUpToDate>
  <CharactersWithSpaces>1934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c:creator>
  <cp:lastModifiedBy>a</cp:lastModifiedBy>
  <cp:revision>2</cp:revision>
  <dcterms:created xsi:type="dcterms:W3CDTF">2013-02-09T22:47:00Z</dcterms:created>
  <dcterms:modified xsi:type="dcterms:W3CDTF">2013-02-09T22:49:00Z</dcterms:modified>
</cp:coreProperties>
</file>