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12892" w:rsidRDefault="00D97EB4" w:rsidP="009F6FEA">
      <w:pPr>
        <w:pStyle w:val="Style2"/>
        <w:widowControl/>
        <w:spacing w:before="43" w:line="317" w:lineRule="exact"/>
        <w:rPr>
          <w:rStyle w:val="FontStyle11"/>
          <w:lang w:val="fr-FR" w:eastAsia="fr-FR"/>
        </w:rPr>
      </w:pPr>
      <w:r>
        <w:rPr>
          <w:rStyle w:val="FontStyle11"/>
          <w:lang w:val="fr-FR" w:eastAsia="fr-FR"/>
        </w:rPr>
        <w:t>Dans le cadre de ce travail nous nous sommes intéressés, dans une première étape, à l'étude de cette paire de polymère après introduction de groupements acides au sein des chaînes du polystyrène formant ainsi des systèmes copolymère-homopolymère de type (A</w:t>
      </w:r>
      <w:r>
        <w:rPr>
          <w:rStyle w:val="FontStyle11"/>
          <w:vertAlign w:val="subscript"/>
          <w:lang w:val="fr-FR" w:eastAsia="fr-FR"/>
        </w:rPr>
        <w:t>x</w:t>
      </w:r>
      <w:r>
        <w:rPr>
          <w:rStyle w:val="FontStyle11"/>
          <w:lang w:val="fr-FR" w:eastAsia="fr-FR"/>
        </w:rPr>
        <w:t>B</w:t>
      </w:r>
      <w:r w:rsidR="009F6FEA">
        <w:rPr>
          <w:rStyle w:val="FontStyle11"/>
          <w:vertAlign w:val="subscript"/>
          <w:lang w:val="fr-FR" w:eastAsia="fr-FR"/>
        </w:rPr>
        <w:t>1-</w:t>
      </w:r>
      <w:r w:rsidRPr="00435F15">
        <w:rPr>
          <w:rStyle w:val="FontStyle11"/>
          <w:vertAlign w:val="subscript"/>
          <w:lang w:val="fr-FR" w:eastAsia="fr-FR"/>
        </w:rPr>
        <w:t>.x</w:t>
      </w:r>
      <w:r>
        <w:rPr>
          <w:rStyle w:val="FontStyle11"/>
          <w:lang w:val="fr-FR" w:eastAsia="fr-FR"/>
        </w:rPr>
        <w:t xml:space="preserve"> / C), représentés par les mélanges suivants:</w:t>
      </w:r>
    </w:p>
    <w:p w:rsidR="00412892" w:rsidRPr="001513DB" w:rsidRDefault="00412892">
      <w:pPr>
        <w:pStyle w:val="Style4"/>
        <w:widowControl/>
        <w:spacing w:line="240" w:lineRule="exact"/>
        <w:ind w:left="739" w:firstLine="0"/>
        <w:rPr>
          <w:sz w:val="20"/>
          <w:szCs w:val="20"/>
          <w:lang w:val="fr-FR"/>
        </w:rPr>
      </w:pPr>
    </w:p>
    <w:p w:rsidR="00412892" w:rsidRDefault="00D97EB4" w:rsidP="00364213">
      <w:pPr>
        <w:pStyle w:val="Style4"/>
        <w:widowControl/>
        <w:numPr>
          <w:ilvl w:val="2"/>
          <w:numId w:val="4"/>
        </w:numPr>
        <w:spacing w:before="120" w:line="240" w:lineRule="auto"/>
        <w:rPr>
          <w:rStyle w:val="FontStyle11"/>
          <w:lang w:val="fr-FR" w:eastAsia="fr-FR"/>
        </w:rPr>
      </w:pPr>
      <w:r>
        <w:rPr>
          <w:rStyle w:val="FontStyle11"/>
          <w:lang w:val="fr-FR" w:eastAsia="fr-FR"/>
        </w:rPr>
        <w:t>Poly(Styrène-co-paracarboxystyrène) / Poly(Méthacrylate d'isobutyle)</w:t>
      </w:r>
    </w:p>
    <w:p w:rsidR="00412892" w:rsidRPr="001513DB" w:rsidRDefault="00412892">
      <w:pPr>
        <w:pStyle w:val="Style4"/>
        <w:widowControl/>
        <w:spacing w:line="240" w:lineRule="exact"/>
        <w:ind w:left="734" w:firstLine="0"/>
        <w:rPr>
          <w:sz w:val="20"/>
          <w:szCs w:val="20"/>
          <w:lang w:val="fr-FR"/>
        </w:rPr>
      </w:pPr>
    </w:p>
    <w:p w:rsidR="00412892" w:rsidRDefault="00D97EB4" w:rsidP="00364213">
      <w:pPr>
        <w:pStyle w:val="Style4"/>
        <w:widowControl/>
        <w:numPr>
          <w:ilvl w:val="2"/>
          <w:numId w:val="4"/>
        </w:numPr>
        <w:spacing w:before="130" w:line="240" w:lineRule="auto"/>
        <w:rPr>
          <w:rStyle w:val="FontStyle11"/>
          <w:lang w:val="fr-FR" w:eastAsia="fr-FR"/>
        </w:rPr>
      </w:pPr>
      <w:r>
        <w:rPr>
          <w:rStyle w:val="FontStyle11"/>
          <w:lang w:val="fr-FR" w:eastAsia="fr-FR"/>
        </w:rPr>
        <w:t>Poly(Styrène-co-Acide cinnamique) / Poly(Méthacrylate d'isobutyle)</w:t>
      </w:r>
    </w:p>
    <w:p w:rsidR="00412892" w:rsidRDefault="00D97EB4" w:rsidP="009F6FEA">
      <w:pPr>
        <w:pStyle w:val="Style4"/>
        <w:widowControl/>
        <w:spacing w:before="96"/>
        <w:ind w:firstLine="0"/>
        <w:jc w:val="both"/>
        <w:rPr>
          <w:rStyle w:val="FontStyle11"/>
          <w:lang w:val="fr-FR" w:eastAsia="fr-FR"/>
        </w:rPr>
      </w:pPr>
      <w:r>
        <w:rPr>
          <w:rStyle w:val="FontStyle11"/>
          <w:lang w:val="fr-FR" w:eastAsia="fr-FR"/>
        </w:rPr>
        <w:t>La seconde étape porte sur l'étude des systèmes copolymère-copolymère de type (A</w:t>
      </w:r>
      <w:r w:rsidRPr="00435F15">
        <w:rPr>
          <w:rStyle w:val="FontStyle11"/>
          <w:vertAlign w:val="subscript"/>
          <w:lang w:val="fr-FR" w:eastAsia="fr-FR"/>
        </w:rPr>
        <w:t>X</w:t>
      </w:r>
      <w:r>
        <w:rPr>
          <w:rStyle w:val="FontStyle11"/>
          <w:lang w:val="fr-FR" w:eastAsia="fr-FR"/>
        </w:rPr>
        <w:t>B</w:t>
      </w:r>
      <w:r w:rsidR="00435F15" w:rsidRPr="00435F15">
        <w:rPr>
          <w:rStyle w:val="FontStyle11"/>
          <w:vertAlign w:val="subscript"/>
          <w:lang w:val="fr-FR" w:eastAsia="fr-FR"/>
        </w:rPr>
        <w:t>1-X</w:t>
      </w:r>
      <w:r>
        <w:rPr>
          <w:rStyle w:val="FontStyle11"/>
          <w:lang w:val="fr-FR" w:eastAsia="fr-FR"/>
        </w:rPr>
        <w:t>/ C</w:t>
      </w:r>
      <w:r>
        <w:rPr>
          <w:rStyle w:val="FontStyle11"/>
          <w:vertAlign w:val="subscript"/>
          <w:lang w:val="fr-FR" w:eastAsia="fr-FR"/>
        </w:rPr>
        <w:t>y</w:t>
      </w:r>
      <w:r>
        <w:rPr>
          <w:rStyle w:val="FontStyle11"/>
          <w:lang w:val="fr-FR" w:eastAsia="fr-FR"/>
        </w:rPr>
        <w:t>D</w:t>
      </w:r>
      <w:r w:rsidR="009F6FEA" w:rsidRPr="009F6FEA">
        <w:rPr>
          <w:rStyle w:val="FontStyle11"/>
          <w:vertAlign w:val="subscript"/>
          <w:lang w:val="fr-FR" w:eastAsia="fr-FR"/>
        </w:rPr>
        <w:t>1-y</w:t>
      </w:r>
      <w:r>
        <w:rPr>
          <w:rStyle w:val="FontStyle11"/>
          <w:lang w:val="fr-FR" w:eastAsia="fr-FR"/>
        </w:rPr>
        <w:t>), représentés par les mélanges suivants:</w:t>
      </w:r>
    </w:p>
    <w:p w:rsidR="00412892" w:rsidRPr="001513DB" w:rsidRDefault="00412892">
      <w:pPr>
        <w:pStyle w:val="Style3"/>
        <w:widowControl/>
        <w:spacing w:line="240" w:lineRule="exact"/>
        <w:ind w:left="950"/>
        <w:rPr>
          <w:sz w:val="20"/>
          <w:szCs w:val="20"/>
          <w:lang w:val="fr-FR"/>
        </w:rPr>
      </w:pPr>
    </w:p>
    <w:p w:rsidR="00412892" w:rsidRDefault="00D97EB4" w:rsidP="00072098">
      <w:pPr>
        <w:pStyle w:val="Style3"/>
        <w:widowControl/>
        <w:numPr>
          <w:ilvl w:val="0"/>
          <w:numId w:val="3"/>
        </w:numPr>
        <w:spacing w:before="77"/>
        <w:rPr>
          <w:rStyle w:val="FontStyle11"/>
          <w:lang w:val="fr-FR" w:eastAsia="fr-FR"/>
        </w:rPr>
      </w:pPr>
      <w:r>
        <w:rPr>
          <w:rStyle w:val="FontStyle11"/>
          <w:lang w:val="fr-FR" w:eastAsia="fr-FR"/>
        </w:rPr>
        <w:t xml:space="preserve">Poly(Styrène-co-paracarboxystyrène) / poly(Méthacrylate </w:t>
      </w:r>
      <w:r w:rsidR="00435F15">
        <w:rPr>
          <w:rStyle w:val="FontStyle11"/>
          <w:lang w:val="fr-FR" w:eastAsia="fr-FR"/>
        </w:rPr>
        <w:t>d'</w:t>
      </w:r>
      <w:r>
        <w:rPr>
          <w:rStyle w:val="FontStyle11"/>
          <w:lang w:val="fr-FR" w:eastAsia="fr-FR"/>
        </w:rPr>
        <w:t>isobutyle-co-Méthacrylate du 2-[N,N diméthylamino] éthyle)</w:t>
      </w:r>
    </w:p>
    <w:p w:rsidR="00412892" w:rsidRPr="001513DB" w:rsidRDefault="00412892">
      <w:pPr>
        <w:pStyle w:val="Style3"/>
        <w:widowControl/>
        <w:spacing w:line="240" w:lineRule="exact"/>
        <w:ind w:left="950" w:hanging="206"/>
        <w:rPr>
          <w:sz w:val="20"/>
          <w:szCs w:val="20"/>
          <w:lang w:val="fr-FR"/>
        </w:rPr>
      </w:pPr>
    </w:p>
    <w:p w:rsidR="00412892" w:rsidRPr="00647F92" w:rsidRDefault="00D97EB4" w:rsidP="00647F92">
      <w:pPr>
        <w:pStyle w:val="Style3"/>
        <w:widowControl/>
        <w:numPr>
          <w:ilvl w:val="0"/>
          <w:numId w:val="3"/>
        </w:numPr>
        <w:spacing w:before="62" w:line="331" w:lineRule="exact"/>
        <w:rPr>
          <w:rStyle w:val="FontStyle11"/>
          <w:lang w:val="fr-FR" w:eastAsia="fr-FR"/>
        </w:rPr>
      </w:pPr>
      <w:r>
        <w:rPr>
          <w:rStyle w:val="FontStyle11"/>
          <w:lang w:val="fr-FR" w:eastAsia="fr-FR"/>
        </w:rPr>
        <w:t>Poly(Styrène-co-paracarboxystyrène) / poly(Méthac</w:t>
      </w:r>
      <w:r w:rsidR="00647F92">
        <w:rPr>
          <w:rStyle w:val="FontStyle11"/>
          <w:lang w:val="fr-FR" w:eastAsia="fr-FR"/>
        </w:rPr>
        <w:t>r</w:t>
      </w:r>
      <w:r>
        <w:rPr>
          <w:rStyle w:val="FontStyle11"/>
          <w:lang w:val="fr-FR" w:eastAsia="fr-FR"/>
        </w:rPr>
        <w:t>ylate</w:t>
      </w:r>
      <w:r w:rsidR="00072098">
        <w:rPr>
          <w:rStyle w:val="FontStyle11"/>
          <w:lang w:val="fr-FR" w:eastAsia="fr-FR"/>
        </w:rPr>
        <w:t xml:space="preserve"> </w:t>
      </w:r>
      <w:r w:rsidRPr="00647F92">
        <w:rPr>
          <w:rStyle w:val="FontStyle11"/>
          <w:lang w:val="fr-FR" w:eastAsia="fr-FR"/>
        </w:rPr>
        <w:t>d'isobutyle-co-4-vinylpyiïdine)</w:t>
      </w:r>
    </w:p>
    <w:p w:rsidR="00412892" w:rsidRPr="001513DB" w:rsidRDefault="00412892">
      <w:pPr>
        <w:pStyle w:val="Style3"/>
        <w:widowControl/>
        <w:spacing w:line="240" w:lineRule="exact"/>
        <w:ind w:left="955" w:hanging="206"/>
        <w:rPr>
          <w:sz w:val="20"/>
          <w:szCs w:val="20"/>
          <w:lang w:val="fr-FR"/>
        </w:rPr>
      </w:pPr>
    </w:p>
    <w:p w:rsidR="00412892" w:rsidRDefault="00D97EB4" w:rsidP="00072098">
      <w:pPr>
        <w:pStyle w:val="Style3"/>
        <w:widowControl/>
        <w:numPr>
          <w:ilvl w:val="0"/>
          <w:numId w:val="3"/>
        </w:numPr>
        <w:spacing w:before="91" w:line="322" w:lineRule="exact"/>
        <w:rPr>
          <w:rStyle w:val="FontStyle11"/>
          <w:lang w:val="fr-FR" w:eastAsia="fr-FR"/>
        </w:rPr>
      </w:pPr>
      <w:r>
        <w:rPr>
          <w:rStyle w:val="FontStyle11"/>
          <w:lang w:val="fr-FR" w:eastAsia="fr-FR"/>
        </w:rPr>
        <w:t>PoIy(Styrène-co-Acide cinnamique) / poly(Méthacrylate d'isobutyle-co-Méthacrylate du 2-[N,N diméthylamino] éthyle)</w:t>
      </w:r>
    </w:p>
    <w:p w:rsidR="00412892" w:rsidRPr="001513DB" w:rsidRDefault="00412892">
      <w:pPr>
        <w:pStyle w:val="Style3"/>
        <w:widowControl/>
        <w:spacing w:line="240" w:lineRule="exact"/>
        <w:ind w:left="960" w:hanging="211"/>
        <w:rPr>
          <w:sz w:val="20"/>
          <w:szCs w:val="20"/>
          <w:lang w:val="fr-FR"/>
        </w:rPr>
      </w:pPr>
    </w:p>
    <w:p w:rsidR="00412892" w:rsidRDefault="00D97EB4" w:rsidP="00072098">
      <w:pPr>
        <w:pStyle w:val="Style3"/>
        <w:widowControl/>
        <w:numPr>
          <w:ilvl w:val="0"/>
          <w:numId w:val="3"/>
        </w:numPr>
        <w:spacing w:before="77" w:line="322" w:lineRule="exact"/>
        <w:rPr>
          <w:rStyle w:val="FontStyle11"/>
          <w:lang w:val="fr-FR" w:eastAsia="fr-FR"/>
        </w:rPr>
      </w:pPr>
      <w:r>
        <w:rPr>
          <w:rStyle w:val="FontStyle11"/>
          <w:lang w:val="fr-FR" w:eastAsia="fr-FR"/>
        </w:rPr>
        <w:t>Poly(Styrène-co-Acide cinnamique) / poly(Méthacrylate d'isobutyle-co- 4-vinylpyridine)</w:t>
      </w:r>
    </w:p>
    <w:p w:rsidR="0061454D" w:rsidRDefault="00D97EB4">
      <w:pPr>
        <w:pStyle w:val="Style4"/>
        <w:widowControl/>
        <w:spacing w:before="72" w:line="326" w:lineRule="exact"/>
        <w:ind w:firstLine="706"/>
        <w:jc w:val="both"/>
        <w:rPr>
          <w:rStyle w:val="FontStyle11"/>
          <w:lang w:val="fr-FR" w:eastAsia="fr-FR"/>
        </w:rPr>
      </w:pPr>
      <w:r>
        <w:rPr>
          <w:rStyle w:val="FontStyle11"/>
          <w:lang w:val="fr-FR" w:eastAsia="fr-FR"/>
        </w:rPr>
        <w:t xml:space="preserve">Ces modifications ont été effectuées par copolymérisation radicalaire à des taux de comotifs </w:t>
      </w:r>
      <w:r w:rsidR="0061454D">
        <w:rPr>
          <w:rStyle w:val="FontStyle11"/>
          <w:lang w:val="fr-FR" w:eastAsia="fr-FR"/>
        </w:rPr>
        <w:t xml:space="preserve">   </w:t>
      </w:r>
    </w:p>
    <w:p w:rsidR="00412892" w:rsidRDefault="00D97EB4">
      <w:pPr>
        <w:pStyle w:val="Style4"/>
        <w:widowControl/>
        <w:spacing w:before="72" w:line="326" w:lineRule="exact"/>
        <w:ind w:firstLine="706"/>
        <w:jc w:val="both"/>
        <w:rPr>
          <w:rStyle w:val="FontStyle11"/>
          <w:lang w:val="fr-FR" w:eastAsia="fr-FR"/>
        </w:rPr>
      </w:pPr>
      <w:r>
        <w:rPr>
          <w:rStyle w:val="FontStyle11"/>
          <w:lang w:val="fr-FR" w:eastAsia="fr-FR"/>
        </w:rPr>
        <w:t>bien déterminés.</w:t>
      </w:r>
    </w:p>
    <w:p w:rsidR="00412892" w:rsidRDefault="00D97EB4" w:rsidP="0061454D">
      <w:pPr>
        <w:pStyle w:val="Style4"/>
        <w:widowControl/>
        <w:spacing w:before="86" w:line="326" w:lineRule="exact"/>
        <w:ind w:firstLine="0"/>
        <w:jc w:val="both"/>
        <w:rPr>
          <w:rStyle w:val="FontStyle11"/>
          <w:lang w:val="fr-FR" w:eastAsia="fr-FR"/>
        </w:rPr>
      </w:pPr>
      <w:r>
        <w:rPr>
          <w:rStyle w:val="FontStyle11"/>
          <w:lang w:val="fr-FR" w:eastAsia="fr-FR"/>
        </w:rPr>
        <w:t>Tous les systèmes élaborés ont été analysés à partir des températures de transition vitreuse déterminées par analyse euthalpique différentielle (DSC) et chromatographie en phase gazeuse inverse (CPGI).</w:t>
      </w:r>
    </w:p>
    <w:p w:rsidR="00412892" w:rsidRDefault="00D97EB4" w:rsidP="005B5A7F">
      <w:pPr>
        <w:pStyle w:val="Style4"/>
        <w:widowControl/>
        <w:spacing w:before="72" w:line="326" w:lineRule="exact"/>
        <w:ind w:firstLine="0"/>
        <w:jc w:val="both"/>
        <w:rPr>
          <w:rStyle w:val="FontStyle11"/>
          <w:lang w:val="fr-FR" w:eastAsia="fr-FR"/>
        </w:rPr>
      </w:pPr>
      <w:r>
        <w:rPr>
          <w:rStyle w:val="FontStyle11"/>
          <w:lang w:val="fr-FR" w:eastAsia="fr-FR"/>
        </w:rPr>
        <w:t>Les interactions spécifiques à l'origine de la miscibilité des différents systèmes ont été mises en évidence en utilisant les approches de Kwei</w:t>
      </w:r>
      <w:r w:rsidR="00D06C70">
        <w:rPr>
          <w:rStyle w:val="FontStyle11"/>
          <w:vertAlign w:val="superscript"/>
          <w:lang w:val="fr-FR" w:eastAsia="fr-FR"/>
        </w:rPr>
        <w:t>[</w:t>
      </w:r>
      <w:r>
        <w:rPr>
          <w:rStyle w:val="FontStyle11"/>
          <w:vertAlign w:val="superscript"/>
          <w:lang w:val="fr-FR" w:eastAsia="fr-FR"/>
        </w:rPr>
        <w:t>85</w:t>
      </w:r>
      <w:r w:rsidR="00D06C70">
        <w:rPr>
          <w:rStyle w:val="FontStyle11"/>
          <w:vertAlign w:val="superscript"/>
          <w:lang w:val="fr-FR" w:eastAsia="fr-FR"/>
        </w:rPr>
        <w:t>]</w:t>
      </w:r>
      <w:r>
        <w:rPr>
          <w:rStyle w:val="FontStyle11"/>
          <w:lang w:val="fr-FR" w:eastAsia="fr-FR"/>
        </w:rPr>
        <w:t xml:space="preserve"> et de Schneider</w:t>
      </w:r>
      <w:r w:rsidR="00D06C70">
        <w:rPr>
          <w:rStyle w:val="FontStyle11"/>
          <w:vertAlign w:val="superscript"/>
          <w:lang w:val="fr-FR" w:eastAsia="fr-FR"/>
        </w:rPr>
        <w:t>[</w:t>
      </w:r>
      <w:r>
        <w:rPr>
          <w:rStyle w:val="FontStyle11"/>
          <w:vertAlign w:val="superscript"/>
          <w:lang w:val="fr-FR" w:eastAsia="fr-FR"/>
        </w:rPr>
        <w:t>86</w:t>
      </w:r>
      <w:r>
        <w:rPr>
          <w:rStyle w:val="FontStyle11"/>
          <w:lang w:val="fr-FR" w:eastAsia="fr-FR"/>
        </w:rPr>
        <w:t>-</w:t>
      </w:r>
      <w:r>
        <w:rPr>
          <w:rStyle w:val="FontStyle11"/>
          <w:vertAlign w:val="superscript"/>
          <w:lang w:val="fr-FR" w:eastAsia="fr-FR"/>
        </w:rPr>
        <w:t>87</w:t>
      </w:r>
      <w:r w:rsidR="00D06C70" w:rsidRPr="001D6030">
        <w:rPr>
          <w:rStyle w:val="FontStyle11"/>
          <w:vertAlign w:val="superscript"/>
          <w:lang w:val="fr-FR" w:eastAsia="fr-FR"/>
        </w:rPr>
        <w:t>]</w:t>
      </w:r>
    </w:p>
    <w:p w:rsidR="00412892" w:rsidRPr="001513DB" w:rsidRDefault="00412892">
      <w:pPr>
        <w:pStyle w:val="Style4"/>
        <w:widowControl/>
        <w:spacing w:line="240" w:lineRule="exact"/>
        <w:ind w:firstLine="710"/>
        <w:jc w:val="both"/>
        <w:rPr>
          <w:sz w:val="20"/>
          <w:szCs w:val="20"/>
          <w:lang w:val="fr-FR"/>
        </w:rPr>
      </w:pPr>
    </w:p>
    <w:p w:rsidR="00412892" w:rsidRDefault="00D97EB4" w:rsidP="005B5A7F">
      <w:pPr>
        <w:pStyle w:val="Style4"/>
        <w:widowControl/>
        <w:spacing w:before="62" w:line="326" w:lineRule="exact"/>
        <w:ind w:firstLine="0"/>
        <w:jc w:val="both"/>
        <w:rPr>
          <w:rStyle w:val="FontStyle11"/>
          <w:lang w:val="fr-FR" w:eastAsia="fr-FR"/>
        </w:rPr>
      </w:pPr>
      <w:r>
        <w:rPr>
          <w:rStyle w:val="FontStyle11"/>
          <w:lang w:val="fr-FR" w:eastAsia="fr-FR"/>
        </w:rPr>
        <w:t>La chromatographie en phase gazeuse inverse sous sa forme gaz-liquide, nous a permis de quantifier ces interactions spécifiques en déterminant les</w:t>
      </w:r>
      <w:r w:rsidR="00273B09">
        <w:rPr>
          <w:rStyle w:val="FontStyle11"/>
          <w:lang w:val="fr-FR" w:eastAsia="fr-FR"/>
        </w:rPr>
        <w:t xml:space="preserve"> </w:t>
      </w:r>
      <w:r>
        <w:rPr>
          <w:rStyle w:val="FontStyle11"/>
          <w:lang w:val="fr-FR" w:eastAsia="fr-FR"/>
        </w:rPr>
        <w:t xml:space="preserve">paramètres </w:t>
      </w:r>
      <w:r w:rsidR="00770DC2">
        <w:rPr>
          <w:rStyle w:val="FontStyle11"/>
          <w:lang w:val="fr-FR" w:eastAsia="fr-FR"/>
        </w:rPr>
        <w:t>d'interactions polymère-polymè</w:t>
      </w:r>
      <w:r w:rsidR="00475B27">
        <w:rPr>
          <w:rStyle w:val="FontStyle11"/>
          <w:lang w:val="fr-FR" w:eastAsia="fr-FR"/>
        </w:rPr>
        <w:t>re</w:t>
      </w:r>
      <w:r w:rsidR="00770DC2">
        <w:rPr>
          <w:rStyle w:val="FontStyle11"/>
          <w:lang w:val="fr-FR" w:eastAsia="fr-FR"/>
        </w:rPr>
        <w:t xml:space="preserve"> X</w:t>
      </w:r>
      <w:r w:rsidR="00B958B6">
        <w:rPr>
          <w:rStyle w:val="FontStyle11"/>
          <w:lang w:val="fr-FR" w:eastAsia="fr-FR"/>
        </w:rPr>
        <w:t xml:space="preserve"> puissance APP indice </w:t>
      </w:r>
      <w:r w:rsidR="00770DC2">
        <w:rPr>
          <w:rStyle w:val="FontStyle11"/>
          <w:lang w:val="fr-FR" w:eastAsia="fr-FR"/>
        </w:rPr>
        <w:t xml:space="preserve">23 </w:t>
      </w:r>
      <w:r>
        <w:rPr>
          <w:rStyle w:val="FontStyle11"/>
          <w:lang w:val="fr-FR" w:eastAsia="fr-FR"/>
        </w:rPr>
        <w:t>en utilisant diverses molécules sondes.</w:t>
      </w:r>
    </w:p>
    <w:p w:rsidR="001171F9" w:rsidRPr="001513DB" w:rsidRDefault="00D97EB4" w:rsidP="009F6FEA">
      <w:pPr>
        <w:pStyle w:val="Style4"/>
        <w:widowControl/>
        <w:spacing w:before="58" w:line="326" w:lineRule="exact"/>
        <w:ind w:firstLine="0"/>
        <w:rPr>
          <w:rStyle w:val="FontStyle11"/>
          <w:lang w:val="fr-FR" w:eastAsia="fr-FR"/>
        </w:rPr>
      </w:pPr>
      <w:r>
        <w:rPr>
          <w:rStyle w:val="FontStyle11"/>
          <w:lang w:val="fr-FR" w:eastAsia="fr-FR"/>
        </w:rPr>
        <w:t xml:space="preserve">Les interactions entre les constituants des mélanges ont été examinées par </w:t>
      </w:r>
      <w:r w:rsidRPr="001513DB">
        <w:rPr>
          <w:rStyle w:val="FontStyle11"/>
          <w:lang w:val="fr-FR" w:eastAsia="fr-FR"/>
        </w:rPr>
        <w:t>spectroscopi</w:t>
      </w:r>
      <w:r w:rsidR="009F6FEA">
        <w:rPr>
          <w:rStyle w:val="FontStyle11"/>
          <w:lang w:val="fr-FR" w:eastAsia="fr-FR"/>
        </w:rPr>
        <w:t>e</w:t>
      </w:r>
      <w:r>
        <w:rPr>
          <w:rStyle w:val="FontStyle11"/>
          <w:lang w:val="fr-FR" w:eastAsia="fr-FR"/>
        </w:rPr>
        <w:t xml:space="preserve"> infrarouge à transformée de</w:t>
      </w:r>
      <w:r w:rsidRPr="001513DB">
        <w:rPr>
          <w:rStyle w:val="FontStyle11"/>
          <w:lang w:val="fr-FR" w:eastAsia="fr-FR"/>
        </w:rPr>
        <w:t xml:space="preserve"> Fourier.</w:t>
      </w:r>
    </w:p>
    <w:sectPr w:rsidR="001171F9" w:rsidRPr="001513DB" w:rsidSect="00647F92">
      <w:pgSz w:w="11905" w:h="16837"/>
      <w:pgMar w:top="853" w:right="1147" w:bottom="1440" w:left="1276" w:header="720" w:footer="720" w:gutter="0"/>
      <w:cols w:space="60"/>
      <w:noEndnote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E3105" w:rsidRDefault="005E3105">
      <w:r>
        <w:separator/>
      </w:r>
    </w:p>
  </w:endnote>
  <w:endnote w:type="continuationSeparator" w:id="1">
    <w:p w:rsidR="005E3105" w:rsidRDefault="005E310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E3105" w:rsidRDefault="005E3105">
      <w:r>
        <w:separator/>
      </w:r>
    </w:p>
  </w:footnote>
  <w:footnote w:type="continuationSeparator" w:id="1">
    <w:p w:rsidR="005E3105" w:rsidRDefault="005E3105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0370C9F"/>
    <w:multiLevelType w:val="hybridMultilevel"/>
    <w:tmpl w:val="E84C5F42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6AF62F8F"/>
    <w:multiLevelType w:val="hybridMultilevel"/>
    <w:tmpl w:val="8050202A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77C9390F"/>
    <w:multiLevelType w:val="hybridMultilevel"/>
    <w:tmpl w:val="78F84618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7D0C7621"/>
    <w:multiLevelType w:val="hybridMultilevel"/>
    <w:tmpl w:val="3FAE7178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SystemFonts/>
  <w:bordersDoNotSurroundHeader/>
  <w:bordersDoNotSurroundFooter/>
  <w:defaultTabStop w:val="720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adjustLineHeightInTable/>
    <w:useFELayout/>
  </w:compat>
  <w:rsids>
    <w:rsidRoot w:val="001171F9"/>
    <w:rsid w:val="00072098"/>
    <w:rsid w:val="001171F9"/>
    <w:rsid w:val="001513DB"/>
    <w:rsid w:val="001D6030"/>
    <w:rsid w:val="00273B09"/>
    <w:rsid w:val="002843FD"/>
    <w:rsid w:val="00364213"/>
    <w:rsid w:val="00412892"/>
    <w:rsid w:val="00435F15"/>
    <w:rsid w:val="00475B27"/>
    <w:rsid w:val="005B5A7F"/>
    <w:rsid w:val="005E3105"/>
    <w:rsid w:val="0061454D"/>
    <w:rsid w:val="00647F92"/>
    <w:rsid w:val="00770DC2"/>
    <w:rsid w:val="009F6FEA"/>
    <w:rsid w:val="00B958B6"/>
    <w:rsid w:val="00D06C70"/>
    <w:rsid w:val="00D97EB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Subtitle" w:semiHidden="0" w:uiPriority="11" w:unhideWhenUsed="0" w:qFormat="1"/>
    <w:lsdException w:name="Hyperlink" w:unhideWhenUsed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12892"/>
    <w:pPr>
      <w:widowControl w:val="0"/>
      <w:autoSpaceDE w:val="0"/>
      <w:autoSpaceDN w:val="0"/>
      <w:adjustRightInd w:val="0"/>
      <w:spacing w:after="0" w:line="240" w:lineRule="auto"/>
    </w:pPr>
    <w:rPr>
      <w:rFonts w:hAnsi="Times New Roman" w:cs="Times New Roman"/>
      <w:sz w:val="24"/>
      <w:szCs w:val="24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customStyle="1" w:styleId="Style1">
    <w:name w:val="Style1"/>
    <w:basedOn w:val="Normal"/>
    <w:uiPriority w:val="99"/>
    <w:rsid w:val="00412892"/>
    <w:pPr>
      <w:spacing w:line="319" w:lineRule="exact"/>
      <w:jc w:val="both"/>
    </w:pPr>
  </w:style>
  <w:style w:type="paragraph" w:customStyle="1" w:styleId="Style2">
    <w:name w:val="Style2"/>
    <w:basedOn w:val="Normal"/>
    <w:uiPriority w:val="99"/>
    <w:rsid w:val="00412892"/>
    <w:pPr>
      <w:spacing w:line="318" w:lineRule="exact"/>
      <w:ind w:firstLine="451"/>
      <w:jc w:val="both"/>
    </w:pPr>
  </w:style>
  <w:style w:type="paragraph" w:customStyle="1" w:styleId="Style3">
    <w:name w:val="Style3"/>
    <w:basedOn w:val="Normal"/>
    <w:uiPriority w:val="99"/>
    <w:rsid w:val="00412892"/>
    <w:pPr>
      <w:spacing w:line="317" w:lineRule="exact"/>
      <w:ind w:hanging="202"/>
    </w:pPr>
  </w:style>
  <w:style w:type="paragraph" w:customStyle="1" w:styleId="Style4">
    <w:name w:val="Style4"/>
    <w:basedOn w:val="Normal"/>
    <w:uiPriority w:val="99"/>
    <w:rsid w:val="00412892"/>
    <w:pPr>
      <w:spacing w:line="322" w:lineRule="exact"/>
      <w:ind w:firstLine="696"/>
    </w:pPr>
  </w:style>
  <w:style w:type="character" w:customStyle="1" w:styleId="FontStyle11">
    <w:name w:val="Font Style11"/>
    <w:basedOn w:val="Policepardfaut"/>
    <w:uiPriority w:val="99"/>
    <w:rsid w:val="00412892"/>
    <w:rPr>
      <w:rFonts w:ascii="Times New Roman" w:hAnsi="Times New Roman" w:cs="Times New Roman"/>
      <w:sz w:val="24"/>
      <w:szCs w:val="24"/>
      <w:lang w:bidi="ar-SA"/>
    </w:rPr>
  </w:style>
  <w:style w:type="character" w:styleId="Lienhypertexte">
    <w:name w:val="Hyperlink"/>
    <w:basedOn w:val="Policepardfaut"/>
    <w:uiPriority w:val="99"/>
    <w:rsid w:val="00412892"/>
    <w:rPr>
      <w:color w:val="0066CC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</TotalTime>
  <Pages>1</Pages>
  <Words>278</Words>
  <Characters>1585</Characters>
  <Application>Microsoft Office Word</Application>
  <DocSecurity>0</DocSecurity>
  <Lines>13</Lines>
  <Paragraphs>3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1860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traitement</dc:creator>
  <cp:lastModifiedBy>traitement</cp:lastModifiedBy>
  <cp:revision>17</cp:revision>
  <dcterms:created xsi:type="dcterms:W3CDTF">2017-01-15T12:17:00Z</dcterms:created>
  <dcterms:modified xsi:type="dcterms:W3CDTF">2017-01-17T11:39:00Z</dcterms:modified>
</cp:coreProperties>
</file>