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D521C" w:rsidRPr="004D06BE" w:rsidRDefault="00CD521C" w:rsidP="00CD521C">
      <w:pPr>
        <w:jc w:val="both"/>
        <w:rPr>
          <w:rFonts w:ascii="Times New Roman" w:hAnsi="Times New Roman"/>
          <w:b/>
          <w:bCs/>
          <w:sz w:val="24"/>
          <w:szCs w:val="24"/>
        </w:rPr>
      </w:pPr>
      <w:r w:rsidRPr="004D06BE">
        <w:rPr>
          <w:rFonts w:ascii="Times New Roman" w:hAnsi="Times New Roman"/>
          <w:b/>
          <w:bCs/>
          <w:sz w:val="24"/>
          <w:szCs w:val="24"/>
        </w:rPr>
        <w:t>Résumé</w:t>
      </w:r>
    </w:p>
    <w:p w:rsidR="00CD521C" w:rsidRDefault="00CD521C" w:rsidP="00CD521C">
      <w:pPr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.</w:t>
      </w:r>
    </w:p>
    <w:p w:rsidR="00CD521C" w:rsidRDefault="00CD521C" w:rsidP="00CD521C">
      <w:pPr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L’utilisation de l’immunosuppresseur (</w:t>
      </w:r>
      <w:proofErr w:type="spellStart"/>
      <w:r>
        <w:rPr>
          <w:rFonts w:ascii="Times New Roman" w:hAnsi="Times New Roman"/>
          <w:sz w:val="24"/>
          <w:szCs w:val="24"/>
        </w:rPr>
        <w:t>Tacrolimus</w:t>
      </w:r>
      <w:proofErr w:type="spellEnd"/>
      <w:r>
        <w:rPr>
          <w:rFonts w:ascii="Times New Roman" w:hAnsi="Times New Roman"/>
          <w:sz w:val="24"/>
          <w:szCs w:val="24"/>
        </w:rPr>
        <w:t xml:space="preserve">) a permis non seulement de neutraliser les perturbations tissulaires et restaurer les taux sériques des marqueurs inflammatoires, métaboliques ainsi que celui de la glycémie. L’étude histologique et </w:t>
      </w:r>
      <w:proofErr w:type="spellStart"/>
      <w:r>
        <w:rPr>
          <w:rFonts w:ascii="Times New Roman" w:hAnsi="Times New Roman"/>
          <w:sz w:val="24"/>
          <w:szCs w:val="24"/>
        </w:rPr>
        <w:t>immunohistochimique</w:t>
      </w:r>
      <w:proofErr w:type="spellEnd"/>
      <w:r>
        <w:rPr>
          <w:rFonts w:ascii="Times New Roman" w:hAnsi="Times New Roman"/>
          <w:sz w:val="24"/>
          <w:szCs w:val="24"/>
        </w:rPr>
        <w:t xml:space="preserve"> a permis d’une part, d’identifier l’évolution des lésions causées par  le venin d’</w:t>
      </w:r>
      <w:proofErr w:type="spellStart"/>
      <w:r w:rsidRPr="00D53550">
        <w:rPr>
          <w:rFonts w:ascii="Times New Roman" w:hAnsi="Times New Roman"/>
          <w:i/>
          <w:iCs/>
          <w:sz w:val="24"/>
          <w:szCs w:val="24"/>
        </w:rPr>
        <w:t>Androctonus</w:t>
      </w:r>
      <w:proofErr w:type="spellEnd"/>
      <w:r w:rsidRPr="00D53550">
        <w:rPr>
          <w:rFonts w:ascii="Times New Roman" w:hAnsi="Times New Roman"/>
          <w:i/>
          <w:iCs/>
          <w:sz w:val="24"/>
          <w:szCs w:val="24"/>
        </w:rPr>
        <w:t xml:space="preserve"> </w:t>
      </w:r>
      <w:proofErr w:type="spellStart"/>
      <w:r w:rsidRPr="00D53550">
        <w:rPr>
          <w:rFonts w:ascii="Times New Roman" w:hAnsi="Times New Roman"/>
          <w:i/>
          <w:iCs/>
          <w:sz w:val="24"/>
          <w:szCs w:val="24"/>
        </w:rPr>
        <w:t>australis</w:t>
      </w:r>
      <w:proofErr w:type="spellEnd"/>
      <w:r w:rsidRPr="00D53550">
        <w:rPr>
          <w:rFonts w:ascii="Times New Roman" w:hAnsi="Times New Roman"/>
          <w:i/>
          <w:iCs/>
          <w:sz w:val="24"/>
          <w:szCs w:val="24"/>
        </w:rPr>
        <w:t xml:space="preserve"> </w:t>
      </w:r>
      <w:proofErr w:type="spellStart"/>
      <w:r w:rsidRPr="00D53550">
        <w:rPr>
          <w:rFonts w:ascii="Times New Roman" w:hAnsi="Times New Roman"/>
          <w:i/>
          <w:iCs/>
          <w:sz w:val="24"/>
          <w:szCs w:val="24"/>
        </w:rPr>
        <w:t>hector</w:t>
      </w:r>
      <w:proofErr w:type="spellEnd"/>
      <w:r w:rsidRPr="00D53550">
        <w:rPr>
          <w:rFonts w:ascii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(</w:t>
      </w:r>
      <w:proofErr w:type="spellStart"/>
      <w:r>
        <w:rPr>
          <w:rFonts w:ascii="Times New Roman" w:hAnsi="Times New Roman"/>
          <w:sz w:val="24"/>
          <w:szCs w:val="24"/>
        </w:rPr>
        <w:t>Aah</w:t>
      </w:r>
      <w:proofErr w:type="spellEnd"/>
      <w:r>
        <w:rPr>
          <w:rFonts w:ascii="Times New Roman" w:hAnsi="Times New Roman"/>
          <w:sz w:val="24"/>
          <w:szCs w:val="24"/>
        </w:rPr>
        <w:t>), de sa Fraction toxique (</w:t>
      </w:r>
      <w:proofErr w:type="spellStart"/>
      <w:r>
        <w:rPr>
          <w:rFonts w:ascii="Times New Roman" w:hAnsi="Times New Roman"/>
          <w:sz w:val="24"/>
          <w:szCs w:val="24"/>
        </w:rPr>
        <w:t>Ftox</w:t>
      </w:r>
      <w:proofErr w:type="spellEnd"/>
      <w:r>
        <w:rPr>
          <w:rFonts w:ascii="Times New Roman" w:hAnsi="Times New Roman"/>
          <w:sz w:val="24"/>
          <w:szCs w:val="24"/>
        </w:rPr>
        <w:t xml:space="preserve">) et de sa toxine </w:t>
      </w:r>
      <w:proofErr w:type="spellStart"/>
      <w:r>
        <w:rPr>
          <w:rFonts w:ascii="Times New Roman" w:hAnsi="Times New Roman"/>
          <w:sz w:val="24"/>
          <w:szCs w:val="24"/>
        </w:rPr>
        <w:t>AahII</w:t>
      </w:r>
      <w:proofErr w:type="spellEnd"/>
      <w:r>
        <w:rPr>
          <w:rFonts w:ascii="Times New Roman" w:hAnsi="Times New Roman"/>
          <w:sz w:val="24"/>
          <w:szCs w:val="24"/>
        </w:rPr>
        <w:t xml:space="preserve"> au niveau des organes du système immunitaire et d’une autre part, d’identifier les cellules immunitaires présentes au niveau des tissus.</w:t>
      </w:r>
    </w:p>
    <w:p w:rsidR="009C7160" w:rsidRDefault="009C7160">
      <w:bookmarkStart w:id="0" w:name="_GoBack"/>
      <w:bookmarkEnd w:id="0"/>
    </w:p>
    <w:sectPr w:rsidR="009C7160" w:rsidSect="00BC6A95">
      <w:footerReference w:type="default" r:id="rId7"/>
      <w:pgSz w:w="11906" w:h="16838"/>
      <w:pgMar w:top="1417" w:right="141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43ED0" w:rsidRDefault="00243ED0" w:rsidP="001C4AE8">
      <w:pPr>
        <w:spacing w:after="0" w:line="240" w:lineRule="auto"/>
      </w:pPr>
      <w:r>
        <w:separator/>
      </w:r>
    </w:p>
  </w:endnote>
  <w:endnote w:type="continuationSeparator" w:id="0">
    <w:p w:rsidR="00243ED0" w:rsidRDefault="00243ED0" w:rsidP="001C4AE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C6A95" w:rsidRDefault="00243ED0"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43ED0" w:rsidRDefault="00243ED0" w:rsidP="001C4AE8">
      <w:pPr>
        <w:spacing w:after="0" w:line="240" w:lineRule="auto"/>
      </w:pPr>
      <w:r>
        <w:separator/>
      </w:r>
    </w:p>
  </w:footnote>
  <w:footnote w:type="continuationSeparator" w:id="0">
    <w:p w:rsidR="00243ED0" w:rsidRDefault="00243ED0" w:rsidP="001C4AE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D521C"/>
    <w:rsid w:val="00007B3B"/>
    <w:rsid w:val="000341EB"/>
    <w:rsid w:val="001C4AE8"/>
    <w:rsid w:val="00243ED0"/>
    <w:rsid w:val="00253642"/>
    <w:rsid w:val="003B4BA9"/>
    <w:rsid w:val="00400105"/>
    <w:rsid w:val="004F067B"/>
    <w:rsid w:val="007F3D39"/>
    <w:rsid w:val="00846A28"/>
    <w:rsid w:val="008D7B83"/>
    <w:rsid w:val="009C7160"/>
    <w:rsid w:val="00B00B22"/>
    <w:rsid w:val="00B94ECA"/>
    <w:rsid w:val="00BF3DEF"/>
    <w:rsid w:val="00C83796"/>
    <w:rsid w:val="00C9790D"/>
    <w:rsid w:val="00CD521C"/>
    <w:rsid w:val="00E644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D521C"/>
    <w:rPr>
      <w:rFonts w:ascii="Calibri" w:eastAsia="Calibri" w:hAnsi="Calibri" w:cs="Times New Roman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uiPriority w:val="99"/>
    <w:unhideWhenUsed/>
    <w:rsid w:val="00CD52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CD521C"/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90</Words>
  <Characters>495</Characters>
  <Application>Microsoft Office Word</Application>
  <DocSecurity>0</DocSecurity>
  <Lines>4</Lines>
  <Paragraphs>1</Paragraphs>
  <ScaleCrop>false</ScaleCrop>
  <Company/>
  <LinksUpToDate>false</LinksUpToDate>
  <CharactersWithSpaces>584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mohamed</dc:creator>
  <cp:lastModifiedBy>cyber</cp:lastModifiedBy>
  <cp:revision>4</cp:revision>
  <dcterms:created xsi:type="dcterms:W3CDTF">2014-05-15T03:33:00Z</dcterms:created>
  <dcterms:modified xsi:type="dcterms:W3CDTF">2014-06-26T10:15:00Z</dcterms:modified>
</cp:coreProperties>
</file>