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E9B" w:rsidRDefault="003A7E9B" w:rsidP="0046164F">
      <w:pPr>
        <w:jc w:val="center"/>
        <w:rPr>
          <w:b/>
          <w:bCs/>
          <w:sz w:val="24"/>
          <w:szCs w:val="24"/>
        </w:rPr>
      </w:pPr>
    </w:p>
    <w:p w:rsidR="003A7E9B" w:rsidRDefault="003A7E9B" w:rsidP="0046164F">
      <w:pPr>
        <w:jc w:val="center"/>
        <w:rPr>
          <w:b/>
          <w:bCs/>
          <w:sz w:val="24"/>
          <w:szCs w:val="24"/>
        </w:rPr>
      </w:pPr>
    </w:p>
    <w:p w:rsidR="0046164F" w:rsidRDefault="0046164F" w:rsidP="0046164F">
      <w:pPr>
        <w:jc w:val="center"/>
        <w:rPr>
          <w:b/>
          <w:bCs/>
          <w:sz w:val="24"/>
          <w:szCs w:val="24"/>
        </w:rPr>
      </w:pPr>
      <w:r w:rsidRPr="006B3E53">
        <w:rPr>
          <w:b/>
          <w:bCs/>
          <w:sz w:val="24"/>
          <w:szCs w:val="24"/>
        </w:rPr>
        <w:t>Résumé</w:t>
      </w:r>
    </w:p>
    <w:p w:rsidR="003A7E9B" w:rsidRDefault="003A7E9B" w:rsidP="0046164F">
      <w:pPr>
        <w:jc w:val="center"/>
        <w:rPr>
          <w:b/>
          <w:bCs/>
          <w:sz w:val="24"/>
          <w:szCs w:val="24"/>
        </w:rPr>
      </w:pPr>
    </w:p>
    <w:p w:rsidR="003A7E9B" w:rsidRPr="006B3E53" w:rsidRDefault="003A7E9B" w:rsidP="00627167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  <w:t xml:space="preserve">Influence de l'axe </w:t>
      </w:r>
      <w:proofErr w:type="spellStart"/>
      <w:r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  <w:t>corticotrope</w:t>
      </w:r>
      <w:proofErr w:type="spellEnd"/>
      <w:r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  <w:t xml:space="preserve"> sur l'axe gonadotrope chez le rat mâle au cours de la vie </w:t>
      </w:r>
      <w:proofErr w:type="spellStart"/>
      <w:r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  <w:t>intra-uterine</w:t>
      </w:r>
      <w:proofErr w:type="spellEnd"/>
      <w:r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  <w:t>neonatale</w:t>
      </w:r>
      <w:proofErr w:type="spellEnd"/>
      <w:r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  <w:t xml:space="preserve"> et adulte</w:t>
      </w:r>
    </w:p>
    <w:p w:rsidR="0046164F" w:rsidRDefault="0046164F" w:rsidP="00627167">
      <w:pPr>
        <w:spacing w:after="0" w:line="360" w:lineRule="auto"/>
        <w:rPr>
          <w:sz w:val="24"/>
          <w:szCs w:val="24"/>
        </w:rPr>
      </w:pPr>
    </w:p>
    <w:p w:rsidR="0046164F" w:rsidRPr="00203FF0" w:rsidRDefault="0046164F" w:rsidP="00627167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L’objectif de notre étude est l’analyse de l’impact d’un excès en   glucocorticoïdes   au cours du développement sur l’activité du testicule. L’expérimentation est réalisée sur les rats </w:t>
      </w:r>
      <w:proofErr w:type="spellStart"/>
      <w:r>
        <w:rPr>
          <w:rFonts w:asciiTheme="majorBidi" w:hAnsiTheme="majorBidi" w:cstheme="majorBidi"/>
          <w:sz w:val="24"/>
          <w:szCs w:val="24"/>
        </w:rPr>
        <w:t>wistar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et </w:t>
      </w:r>
      <w:r w:rsidR="006B3E53">
        <w:rPr>
          <w:rFonts w:asciiTheme="majorBidi" w:hAnsiTheme="majorBidi" w:cstheme="majorBidi"/>
          <w:sz w:val="24"/>
          <w:szCs w:val="24"/>
        </w:rPr>
        <w:t xml:space="preserve">de </w:t>
      </w:r>
      <w:r>
        <w:rPr>
          <w:rFonts w:asciiTheme="majorBidi" w:hAnsiTheme="majorBidi" w:cstheme="majorBidi"/>
          <w:sz w:val="24"/>
          <w:szCs w:val="24"/>
        </w:rPr>
        <w:t xml:space="preserve">la </w:t>
      </w:r>
      <w:proofErr w:type="spellStart"/>
      <w:r>
        <w:rPr>
          <w:rFonts w:asciiTheme="majorBidi" w:hAnsiTheme="majorBidi" w:cstheme="majorBidi"/>
          <w:sz w:val="24"/>
          <w:szCs w:val="24"/>
        </w:rPr>
        <w:t>dexamethasone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 est administrée à des femelles gestantes, à des nouveaux nés  et à des mères allaitantes.  Les  nouveaux nés sont suivis puis sacrifiés à l’âge de 21, 40 et 60j</w:t>
      </w:r>
      <w:r w:rsidRPr="00030E78">
        <w:rPr>
          <w:rFonts w:asciiTheme="majorBidi" w:hAnsiTheme="majorBidi" w:cstheme="majorBidi"/>
          <w:i/>
          <w:iCs/>
          <w:sz w:val="24"/>
          <w:szCs w:val="24"/>
        </w:rPr>
        <w:t>pp</w:t>
      </w:r>
      <w:r>
        <w:rPr>
          <w:rFonts w:asciiTheme="majorBidi" w:hAnsiTheme="majorBidi" w:cstheme="majorBidi"/>
          <w:sz w:val="24"/>
          <w:szCs w:val="24"/>
        </w:rPr>
        <w:t>. Les résultats révèlent des variations significatives des paramètres pondéraux (corp</w:t>
      </w:r>
      <w:r w:rsidR="006B3E53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>, surrénale</w:t>
      </w:r>
      <w:r w:rsidR="003A7E9B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et testicule</w:t>
      </w:r>
      <w:r w:rsidR="003A7E9B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), des modifications </w:t>
      </w:r>
      <w:proofErr w:type="spellStart"/>
      <w:r>
        <w:rPr>
          <w:rFonts w:asciiTheme="majorBidi" w:hAnsiTheme="majorBidi" w:cstheme="majorBidi"/>
          <w:sz w:val="24"/>
          <w:szCs w:val="24"/>
        </w:rPr>
        <w:t>histomorphométrique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="006B3E53">
        <w:rPr>
          <w:rFonts w:asciiTheme="majorBidi" w:hAnsiTheme="majorBidi" w:cstheme="majorBidi"/>
          <w:sz w:val="24"/>
          <w:szCs w:val="24"/>
        </w:rPr>
        <w:t>des testicules,</w:t>
      </w:r>
      <w:r>
        <w:rPr>
          <w:rFonts w:asciiTheme="majorBidi" w:hAnsiTheme="majorBidi" w:cstheme="majorBidi"/>
          <w:sz w:val="24"/>
          <w:szCs w:val="24"/>
        </w:rPr>
        <w:t xml:space="preserve"> de l’indice apoptotique et de l’</w:t>
      </w:r>
      <w:proofErr w:type="spellStart"/>
      <w:r>
        <w:rPr>
          <w:rFonts w:asciiTheme="majorBidi" w:hAnsiTheme="majorBidi" w:cstheme="majorBidi"/>
          <w:sz w:val="24"/>
          <w:szCs w:val="24"/>
        </w:rPr>
        <w:t>hormonémie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. </w:t>
      </w:r>
      <w:r w:rsidRPr="00203FF0">
        <w:rPr>
          <w:rFonts w:asciiTheme="majorBidi" w:hAnsiTheme="majorBidi" w:cstheme="majorBidi"/>
          <w:sz w:val="24"/>
          <w:szCs w:val="24"/>
        </w:rPr>
        <w:t>L’ensemble de ces résultats suggère</w:t>
      </w:r>
      <w:r>
        <w:rPr>
          <w:rFonts w:asciiTheme="majorBidi" w:hAnsiTheme="majorBidi" w:cstheme="majorBidi"/>
          <w:sz w:val="24"/>
          <w:szCs w:val="24"/>
        </w:rPr>
        <w:t>nt</w:t>
      </w:r>
      <w:r w:rsidRPr="00203FF0">
        <w:rPr>
          <w:rFonts w:asciiTheme="majorBidi" w:hAnsiTheme="majorBidi" w:cstheme="majorBidi"/>
          <w:sz w:val="24"/>
          <w:szCs w:val="24"/>
        </w:rPr>
        <w:t xml:space="preserve"> que l’exposition à un excès de glucocorticoïdes p</w:t>
      </w:r>
      <w:bookmarkStart w:id="0" w:name="_GoBack"/>
      <w:bookmarkEnd w:id="0"/>
      <w:r w:rsidRPr="00203FF0">
        <w:rPr>
          <w:rFonts w:asciiTheme="majorBidi" w:hAnsiTheme="majorBidi" w:cstheme="majorBidi"/>
          <w:sz w:val="24"/>
          <w:szCs w:val="24"/>
        </w:rPr>
        <w:t xml:space="preserve">ourrait influencer  l’activité du testicule au cours du développement. </w:t>
      </w:r>
    </w:p>
    <w:sectPr w:rsidR="0046164F" w:rsidRPr="00203FF0" w:rsidSect="000B1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64F"/>
    <w:rsid w:val="000B177E"/>
    <w:rsid w:val="000D2137"/>
    <w:rsid w:val="00284739"/>
    <w:rsid w:val="00370841"/>
    <w:rsid w:val="003A7E9B"/>
    <w:rsid w:val="0046164F"/>
    <w:rsid w:val="004C694A"/>
    <w:rsid w:val="00627167"/>
    <w:rsid w:val="006B3E53"/>
    <w:rsid w:val="00A20BBC"/>
    <w:rsid w:val="00A32BE0"/>
    <w:rsid w:val="00CD4C80"/>
    <w:rsid w:val="00D04E7B"/>
    <w:rsid w:val="00FB6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B3BCF1-0E7D-40A6-A82B-D0413489E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164F"/>
    <w:pPr>
      <w:spacing w:after="80" w:line="240" w:lineRule="exact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naima</cp:lastModifiedBy>
  <cp:revision>3</cp:revision>
  <dcterms:created xsi:type="dcterms:W3CDTF">2018-01-07T20:03:00Z</dcterms:created>
  <dcterms:modified xsi:type="dcterms:W3CDTF">2018-05-09T10:33:00Z</dcterms:modified>
</cp:coreProperties>
</file>