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pPr w:leftFromText="141" w:rightFromText="141" w:horzAnchor="margin" w:tblpXSpec="right" w:tblpY="300"/>
        <w:tblW w:w="94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497"/>
      </w:tblGrid>
      <w:tr w:rsidR="00980E79" w:rsidTr="00AA1542">
        <w:tc>
          <w:tcPr>
            <w:tcW w:w="9497" w:type="dxa"/>
            <w:tcBorders>
              <w:top w:val="single" w:sz="8" w:space="0" w:color="auto"/>
              <w:left w:val="single" w:sz="8" w:space="0" w:color="auto"/>
              <w:bottom w:val="single" w:sz="8" w:space="0" w:color="auto"/>
              <w:right w:val="single" w:sz="8" w:space="0" w:color="auto"/>
            </w:tcBorders>
          </w:tcPr>
          <w:p w:rsidR="00866907" w:rsidRPr="00866907" w:rsidRDefault="00866907" w:rsidP="00866907">
            <w:pPr>
              <w:pStyle w:val="Sansinterligne"/>
              <w:jc w:val="center"/>
              <w:rPr>
                <w:rFonts w:ascii="Times New Roman" w:hAnsi="Times New Roman" w:cs="Times New Roman"/>
                <w:sz w:val="36"/>
                <w:szCs w:val="36"/>
              </w:rPr>
            </w:pPr>
            <w:r>
              <w:rPr>
                <w:rFonts w:ascii="Times New Roman" w:hAnsi="Times New Roman" w:cs="Times New Roman"/>
                <w:sz w:val="36"/>
                <w:szCs w:val="36"/>
              </w:rPr>
              <w:t>*</w:t>
            </w:r>
            <w:r w:rsidRPr="00866907">
              <w:rPr>
                <w:rFonts w:ascii="Times New Roman" w:hAnsi="Times New Roman" w:cs="Times New Roman"/>
                <w:sz w:val="36"/>
                <w:szCs w:val="36"/>
              </w:rPr>
              <w:t>Etude Théorique par la Dynamique Moléculaire de Systèmes Chimiques et Biologiques</w:t>
            </w:r>
            <w:r>
              <w:rPr>
                <w:rFonts w:ascii="Times New Roman" w:hAnsi="Times New Roman" w:cs="Times New Roman"/>
                <w:sz w:val="36"/>
                <w:szCs w:val="36"/>
              </w:rPr>
              <w:t>*</w:t>
            </w:r>
          </w:p>
          <w:p w:rsidR="00AA1542" w:rsidRDefault="00AA1542" w:rsidP="00AA1542">
            <w:pPr>
              <w:pStyle w:val="Sansinterligne"/>
              <w:jc w:val="center"/>
              <w:rPr>
                <w:rFonts w:asciiTheme="majorBidi" w:hAnsiTheme="majorBidi" w:cstheme="majorBidi"/>
                <w:b/>
                <w:bCs/>
                <w:sz w:val="24"/>
                <w:szCs w:val="24"/>
              </w:rPr>
            </w:pPr>
          </w:p>
        </w:tc>
      </w:tr>
      <w:tr w:rsidR="00980E79" w:rsidTr="00AA1542">
        <w:tc>
          <w:tcPr>
            <w:tcW w:w="9497" w:type="dxa"/>
            <w:tcBorders>
              <w:top w:val="single" w:sz="8" w:space="0" w:color="auto"/>
              <w:bottom w:val="single" w:sz="8" w:space="0" w:color="auto"/>
            </w:tcBorders>
          </w:tcPr>
          <w:p w:rsidR="00980E79" w:rsidRDefault="00980E79" w:rsidP="00AA1542">
            <w:pPr>
              <w:pStyle w:val="Sansinterligne"/>
              <w:jc w:val="center"/>
              <w:rPr>
                <w:rFonts w:asciiTheme="majorBidi" w:hAnsiTheme="majorBidi" w:cstheme="majorBidi"/>
                <w:b/>
                <w:bCs/>
                <w:sz w:val="24"/>
                <w:szCs w:val="24"/>
              </w:rPr>
            </w:pPr>
          </w:p>
          <w:p w:rsidR="00980E79" w:rsidRPr="00E543E9" w:rsidRDefault="00980E79" w:rsidP="00AA1542">
            <w:pPr>
              <w:pStyle w:val="Sansinterligne"/>
              <w:jc w:val="center"/>
              <w:rPr>
                <w:rFonts w:asciiTheme="majorBidi" w:hAnsiTheme="majorBidi" w:cstheme="majorBidi"/>
                <w:b/>
                <w:bCs/>
                <w:sz w:val="24"/>
                <w:szCs w:val="24"/>
              </w:rPr>
            </w:pPr>
            <w:r w:rsidRPr="00E543E9">
              <w:rPr>
                <w:rFonts w:asciiTheme="majorBidi" w:hAnsiTheme="majorBidi" w:cstheme="majorBidi"/>
                <w:b/>
                <w:bCs/>
                <w:sz w:val="24"/>
                <w:szCs w:val="24"/>
              </w:rPr>
              <w:t>MEDANE SOUHILA**</w:t>
            </w:r>
          </w:p>
          <w:p w:rsidR="00980E79" w:rsidRPr="00E543E9" w:rsidRDefault="00980E79" w:rsidP="00AA1542">
            <w:pPr>
              <w:pStyle w:val="Sansinterligne"/>
              <w:jc w:val="center"/>
              <w:rPr>
                <w:rFonts w:asciiTheme="majorBidi" w:hAnsiTheme="majorBidi" w:cstheme="majorBidi"/>
                <w:b/>
                <w:bCs/>
                <w:sz w:val="24"/>
                <w:szCs w:val="24"/>
              </w:rPr>
            </w:pPr>
            <w:r w:rsidRPr="00E543E9">
              <w:rPr>
                <w:rFonts w:asciiTheme="majorBidi" w:hAnsiTheme="majorBidi" w:cstheme="majorBidi"/>
                <w:b/>
                <w:bCs/>
                <w:sz w:val="24"/>
                <w:szCs w:val="24"/>
              </w:rPr>
              <w:t>Ecole Doctorale Physique Chimie Théorique Chimie Informatique</w:t>
            </w:r>
          </w:p>
          <w:p w:rsidR="00980E79" w:rsidRDefault="00980E79" w:rsidP="00AA1542">
            <w:pPr>
              <w:pStyle w:val="Sansinterligne"/>
              <w:jc w:val="center"/>
              <w:rPr>
                <w:rFonts w:asciiTheme="majorBidi" w:hAnsiTheme="majorBidi" w:cstheme="majorBidi"/>
                <w:b/>
                <w:bCs/>
                <w:sz w:val="24"/>
                <w:szCs w:val="24"/>
              </w:rPr>
            </w:pPr>
            <w:r w:rsidRPr="00E543E9">
              <w:rPr>
                <w:rFonts w:asciiTheme="majorBidi" w:hAnsiTheme="majorBidi" w:cstheme="majorBidi"/>
                <w:b/>
                <w:bCs/>
                <w:sz w:val="24"/>
                <w:szCs w:val="24"/>
              </w:rPr>
              <w:t>Faculté de Chimie, USTHB</w:t>
            </w:r>
          </w:p>
          <w:p w:rsidR="00980E79" w:rsidRPr="00980E79" w:rsidRDefault="00980E79" w:rsidP="00AA1542">
            <w:pPr>
              <w:pStyle w:val="Sansinterligne"/>
              <w:jc w:val="center"/>
              <w:rPr>
                <w:rFonts w:asciiTheme="majorBidi" w:hAnsiTheme="majorBidi" w:cstheme="majorBidi"/>
                <w:b/>
                <w:bCs/>
                <w:sz w:val="18"/>
                <w:szCs w:val="18"/>
              </w:rPr>
            </w:pPr>
          </w:p>
        </w:tc>
      </w:tr>
      <w:tr w:rsidR="00980E79" w:rsidTr="00AA1542">
        <w:tc>
          <w:tcPr>
            <w:tcW w:w="9497" w:type="dxa"/>
            <w:tcBorders>
              <w:top w:val="single" w:sz="8" w:space="0" w:color="auto"/>
              <w:left w:val="single" w:sz="8" w:space="0" w:color="auto"/>
              <w:bottom w:val="single" w:sz="8" w:space="0" w:color="auto"/>
              <w:right w:val="single" w:sz="8" w:space="0" w:color="auto"/>
            </w:tcBorders>
          </w:tcPr>
          <w:p w:rsidR="00980E79" w:rsidRPr="001B7389" w:rsidRDefault="00980E79" w:rsidP="00AA1542">
            <w:pPr>
              <w:pStyle w:val="Sansinterligne"/>
              <w:spacing w:after="120" w:line="276" w:lineRule="auto"/>
              <w:jc w:val="both"/>
              <w:rPr>
                <w:rFonts w:asciiTheme="majorBidi" w:hAnsiTheme="majorBidi" w:cstheme="majorBidi"/>
                <w:b/>
                <w:bCs/>
                <w:sz w:val="24"/>
                <w:szCs w:val="24"/>
                <w:u w:val="single"/>
              </w:rPr>
            </w:pPr>
            <w:r w:rsidRPr="001B7389">
              <w:rPr>
                <w:rFonts w:asciiTheme="majorBidi" w:hAnsiTheme="majorBidi" w:cstheme="majorBidi"/>
                <w:b/>
                <w:bCs/>
                <w:sz w:val="24"/>
                <w:szCs w:val="24"/>
                <w:u w:val="single"/>
              </w:rPr>
              <w:t>Résumé.</w:t>
            </w:r>
          </w:p>
          <w:p w:rsidR="00980E79" w:rsidRPr="00312527" w:rsidRDefault="00980E79" w:rsidP="00AA1542">
            <w:pPr>
              <w:pStyle w:val="Sansinterligne"/>
              <w:spacing w:after="120" w:line="276" w:lineRule="auto"/>
              <w:jc w:val="both"/>
              <w:rPr>
                <w:rFonts w:asciiTheme="majorBidi" w:hAnsiTheme="majorBidi" w:cstheme="majorBidi"/>
                <w:sz w:val="24"/>
                <w:szCs w:val="24"/>
              </w:rPr>
            </w:pPr>
            <w:r w:rsidRPr="00312527">
              <w:rPr>
                <w:rFonts w:asciiTheme="majorBidi" w:hAnsiTheme="majorBidi" w:cstheme="majorBidi"/>
                <w:sz w:val="24"/>
                <w:szCs w:val="24"/>
              </w:rPr>
              <w:t xml:space="preserve">Les transpositions </w:t>
            </w:r>
            <w:proofErr w:type="spellStart"/>
            <w:r w:rsidRPr="00312527">
              <w:rPr>
                <w:rFonts w:asciiTheme="majorBidi" w:hAnsiTheme="majorBidi" w:cstheme="majorBidi"/>
                <w:sz w:val="24"/>
                <w:szCs w:val="24"/>
              </w:rPr>
              <w:t>sigmatropiques</w:t>
            </w:r>
            <w:proofErr w:type="spellEnd"/>
            <w:r w:rsidRPr="00312527">
              <w:rPr>
                <w:rFonts w:asciiTheme="majorBidi" w:hAnsiTheme="majorBidi" w:cstheme="majorBidi"/>
                <w:sz w:val="24"/>
                <w:szCs w:val="24"/>
              </w:rPr>
              <w:t xml:space="preserve"> qu’on rencontre le plus couramment dans la synthèse organique sont : le réarrangement de </w:t>
            </w:r>
            <w:proofErr w:type="spellStart"/>
            <w:r w:rsidRPr="00312527">
              <w:rPr>
                <w:rFonts w:asciiTheme="majorBidi" w:hAnsiTheme="majorBidi" w:cstheme="majorBidi"/>
                <w:sz w:val="24"/>
                <w:szCs w:val="24"/>
              </w:rPr>
              <w:t>Cope</w:t>
            </w:r>
            <w:proofErr w:type="spellEnd"/>
            <w:r w:rsidRPr="00312527">
              <w:rPr>
                <w:rFonts w:asciiTheme="majorBidi" w:hAnsiTheme="majorBidi" w:cstheme="majorBidi"/>
                <w:sz w:val="24"/>
                <w:szCs w:val="24"/>
              </w:rPr>
              <w:t xml:space="preserve">, le réarrangement de </w:t>
            </w:r>
            <w:proofErr w:type="spellStart"/>
            <w:r w:rsidRPr="00312527">
              <w:rPr>
                <w:rFonts w:asciiTheme="majorBidi" w:hAnsiTheme="majorBidi" w:cstheme="majorBidi"/>
                <w:sz w:val="24"/>
                <w:szCs w:val="24"/>
              </w:rPr>
              <w:t>Claisen</w:t>
            </w:r>
            <w:proofErr w:type="spellEnd"/>
            <w:r w:rsidRPr="00312527">
              <w:rPr>
                <w:rFonts w:asciiTheme="majorBidi" w:hAnsiTheme="majorBidi" w:cstheme="majorBidi"/>
                <w:sz w:val="24"/>
                <w:szCs w:val="24"/>
              </w:rPr>
              <w:t xml:space="preserve"> et la transposition [1,5] de l’hydrogène. Le réarrangement de </w:t>
            </w:r>
            <w:proofErr w:type="spellStart"/>
            <w:r w:rsidRPr="00312527">
              <w:rPr>
                <w:rFonts w:asciiTheme="majorBidi" w:hAnsiTheme="majorBidi" w:cstheme="majorBidi"/>
                <w:sz w:val="24"/>
                <w:szCs w:val="24"/>
              </w:rPr>
              <w:t>Cope</w:t>
            </w:r>
            <w:proofErr w:type="spellEnd"/>
            <w:r w:rsidRPr="00312527">
              <w:rPr>
                <w:rFonts w:asciiTheme="majorBidi" w:hAnsiTheme="majorBidi" w:cstheme="majorBidi"/>
                <w:sz w:val="24"/>
                <w:szCs w:val="24"/>
              </w:rPr>
              <w:t xml:space="preserve"> (1940), surnommé comme le réarrangement </w:t>
            </w:r>
            <w:r w:rsidRPr="00312527">
              <w:rPr>
                <w:rFonts w:asciiTheme="majorBidi" w:hAnsiTheme="majorBidi" w:cstheme="majorBidi"/>
                <w:i/>
                <w:iCs/>
                <w:sz w:val="24"/>
                <w:szCs w:val="24"/>
              </w:rPr>
              <w:t>tout-en-carbone</w:t>
            </w:r>
            <w:r w:rsidRPr="00312527">
              <w:rPr>
                <w:rFonts w:asciiTheme="majorBidi" w:hAnsiTheme="majorBidi" w:cstheme="majorBidi"/>
                <w:sz w:val="24"/>
                <w:szCs w:val="24"/>
              </w:rPr>
              <w:t xml:space="preserve"> de </w:t>
            </w:r>
            <w:proofErr w:type="spellStart"/>
            <w:r w:rsidRPr="00312527">
              <w:rPr>
                <w:rFonts w:asciiTheme="majorBidi" w:hAnsiTheme="majorBidi" w:cstheme="majorBidi"/>
                <w:sz w:val="24"/>
                <w:szCs w:val="24"/>
              </w:rPr>
              <w:t>Claisen</w:t>
            </w:r>
            <w:proofErr w:type="spellEnd"/>
            <w:r w:rsidRPr="00312527">
              <w:rPr>
                <w:rFonts w:asciiTheme="majorBidi" w:hAnsiTheme="majorBidi" w:cstheme="majorBidi"/>
                <w:sz w:val="24"/>
                <w:szCs w:val="24"/>
              </w:rPr>
              <w:t xml:space="preserve">, est une transposition </w:t>
            </w:r>
            <w:proofErr w:type="spellStart"/>
            <w:r w:rsidRPr="00312527">
              <w:rPr>
                <w:rFonts w:asciiTheme="majorBidi" w:hAnsiTheme="majorBidi" w:cstheme="majorBidi"/>
                <w:sz w:val="24"/>
                <w:szCs w:val="24"/>
              </w:rPr>
              <w:t>sigmatropique</w:t>
            </w:r>
            <w:proofErr w:type="spellEnd"/>
            <w:r w:rsidRPr="00312527">
              <w:rPr>
                <w:rFonts w:asciiTheme="majorBidi" w:hAnsiTheme="majorBidi" w:cstheme="majorBidi"/>
                <w:sz w:val="24"/>
                <w:szCs w:val="24"/>
              </w:rPr>
              <w:t xml:space="preserve"> [3,3] très utilisée en synthèse. C’est une réaction </w:t>
            </w:r>
            <w:proofErr w:type="spellStart"/>
            <w:r w:rsidRPr="00312527">
              <w:rPr>
                <w:rFonts w:asciiTheme="majorBidi" w:hAnsiTheme="majorBidi" w:cstheme="majorBidi"/>
                <w:sz w:val="24"/>
                <w:szCs w:val="24"/>
              </w:rPr>
              <w:t>péricyclique</w:t>
            </w:r>
            <w:proofErr w:type="spellEnd"/>
            <w:r w:rsidRPr="00312527">
              <w:rPr>
                <w:rFonts w:asciiTheme="majorBidi" w:hAnsiTheme="majorBidi" w:cstheme="majorBidi"/>
                <w:sz w:val="24"/>
                <w:szCs w:val="24"/>
              </w:rPr>
              <w:t xml:space="preserve"> qui montre de grandes </w:t>
            </w:r>
            <w:proofErr w:type="spellStart"/>
            <w:r w:rsidRPr="00312527">
              <w:rPr>
                <w:rFonts w:asciiTheme="majorBidi" w:hAnsiTheme="majorBidi" w:cstheme="majorBidi"/>
                <w:sz w:val="24"/>
                <w:szCs w:val="24"/>
              </w:rPr>
              <w:t>régio</w:t>
            </w:r>
            <w:proofErr w:type="spellEnd"/>
            <w:r w:rsidRPr="00312527">
              <w:rPr>
                <w:rFonts w:asciiTheme="majorBidi" w:hAnsiTheme="majorBidi" w:cstheme="majorBidi"/>
                <w:sz w:val="24"/>
                <w:szCs w:val="24"/>
              </w:rPr>
              <w:t xml:space="preserve">- et </w:t>
            </w:r>
            <w:proofErr w:type="spellStart"/>
            <w:r w:rsidRPr="00312527">
              <w:rPr>
                <w:rFonts w:asciiTheme="majorBidi" w:hAnsiTheme="majorBidi" w:cstheme="majorBidi"/>
                <w:sz w:val="24"/>
                <w:szCs w:val="24"/>
              </w:rPr>
              <w:t>stéréosélectivité</w:t>
            </w:r>
            <w:proofErr w:type="spellEnd"/>
            <w:r w:rsidRPr="00312527">
              <w:rPr>
                <w:rFonts w:asciiTheme="majorBidi" w:hAnsiTheme="majorBidi" w:cstheme="majorBidi"/>
                <w:sz w:val="24"/>
                <w:szCs w:val="24"/>
              </w:rPr>
              <w:t>.</w:t>
            </w:r>
          </w:p>
          <w:p w:rsidR="00980E79" w:rsidRDefault="00980E79" w:rsidP="00AA1542">
            <w:pPr>
              <w:pStyle w:val="Sansinterligne"/>
              <w:spacing w:after="120" w:line="276" w:lineRule="auto"/>
              <w:jc w:val="both"/>
              <w:rPr>
                <w:rFonts w:asciiTheme="majorBidi" w:hAnsiTheme="majorBidi" w:cstheme="majorBidi"/>
                <w:sz w:val="24"/>
                <w:szCs w:val="24"/>
              </w:rPr>
            </w:pPr>
            <w:r w:rsidRPr="00312527">
              <w:rPr>
                <w:rFonts w:asciiTheme="majorBidi" w:hAnsiTheme="majorBidi" w:cstheme="majorBidi"/>
                <w:sz w:val="24"/>
                <w:szCs w:val="24"/>
              </w:rPr>
              <w:t xml:space="preserve">La théorie des orbitales frontières de Fukui (vers 1952) et le principe de conservation des symétries des orbitales au cours d’une transformation, de Woodward et Hoffman, ont joué un grand rôle dans l’interprétation des réactions </w:t>
            </w:r>
            <w:proofErr w:type="spellStart"/>
            <w:r w:rsidRPr="00312527">
              <w:rPr>
                <w:rFonts w:asciiTheme="majorBidi" w:hAnsiTheme="majorBidi" w:cstheme="majorBidi"/>
                <w:sz w:val="24"/>
                <w:szCs w:val="24"/>
              </w:rPr>
              <w:t>péricycliques</w:t>
            </w:r>
            <w:proofErr w:type="spellEnd"/>
            <w:r w:rsidRPr="00312527">
              <w:rPr>
                <w:rFonts w:asciiTheme="majorBidi" w:hAnsiTheme="majorBidi" w:cstheme="majorBidi"/>
                <w:sz w:val="24"/>
                <w:szCs w:val="24"/>
              </w:rPr>
              <w:t xml:space="preserve"> concertées qui sont restées depuis longtemps sous la dénomination de </w:t>
            </w:r>
            <w:r w:rsidRPr="00312527">
              <w:rPr>
                <w:rFonts w:asciiTheme="majorBidi" w:hAnsiTheme="majorBidi" w:cstheme="majorBidi"/>
                <w:i/>
                <w:iCs/>
                <w:sz w:val="24"/>
                <w:szCs w:val="24"/>
              </w:rPr>
              <w:t>réactions sans mécanismes</w:t>
            </w:r>
            <w:r w:rsidRPr="00312527">
              <w:rPr>
                <w:rFonts w:asciiTheme="majorBidi" w:hAnsiTheme="majorBidi" w:cstheme="majorBidi"/>
                <w:sz w:val="24"/>
                <w:szCs w:val="24"/>
              </w:rPr>
              <w:t xml:space="preserve">. L’interaction </w:t>
            </w:r>
            <w:proofErr w:type="spellStart"/>
            <w:r w:rsidRPr="00312527">
              <w:rPr>
                <w:rFonts w:asciiTheme="majorBidi" w:hAnsiTheme="majorBidi" w:cstheme="majorBidi"/>
                <w:sz w:val="24"/>
                <w:szCs w:val="24"/>
              </w:rPr>
              <w:t>orbitalaire</w:t>
            </w:r>
            <w:proofErr w:type="spellEnd"/>
            <w:r w:rsidRPr="00312527">
              <w:rPr>
                <w:rFonts w:asciiTheme="majorBidi" w:hAnsiTheme="majorBidi" w:cstheme="majorBidi"/>
                <w:sz w:val="24"/>
                <w:szCs w:val="24"/>
              </w:rPr>
              <w:t xml:space="preserve"> est d’une grande utilité dans l’étude de la réaction de </w:t>
            </w:r>
            <w:proofErr w:type="spellStart"/>
            <w:r w:rsidRPr="00312527">
              <w:rPr>
                <w:rFonts w:asciiTheme="majorBidi" w:hAnsiTheme="majorBidi" w:cstheme="majorBidi"/>
                <w:sz w:val="24"/>
                <w:szCs w:val="24"/>
              </w:rPr>
              <w:t>Cope</w:t>
            </w:r>
            <w:proofErr w:type="spellEnd"/>
            <w:r w:rsidRPr="00312527">
              <w:rPr>
                <w:rFonts w:asciiTheme="majorBidi" w:hAnsiTheme="majorBidi" w:cstheme="majorBidi"/>
                <w:sz w:val="24"/>
                <w:szCs w:val="24"/>
              </w:rPr>
              <w:t xml:space="preserve">, mais c’est plutôt la structure de l’état de transition qui représente le facteur clef dans la compréhension de cette réaction et décisif dans la détermination de la stéréochimie des produits.  </w:t>
            </w:r>
          </w:p>
          <w:p w:rsidR="00980E79" w:rsidRDefault="00980E79" w:rsidP="00AA1542">
            <w:pPr>
              <w:pStyle w:val="Sansinterligne"/>
              <w:spacing w:after="120" w:line="276" w:lineRule="auto"/>
              <w:jc w:val="both"/>
              <w:rPr>
                <w:rFonts w:asciiTheme="majorBidi" w:hAnsiTheme="majorBidi" w:cstheme="majorBidi"/>
                <w:sz w:val="24"/>
                <w:szCs w:val="24"/>
              </w:rPr>
            </w:pPr>
            <w:r w:rsidRPr="00312527">
              <w:rPr>
                <w:rFonts w:asciiTheme="majorBidi" w:hAnsiTheme="majorBidi" w:cstheme="majorBidi"/>
                <w:sz w:val="24"/>
                <w:szCs w:val="24"/>
              </w:rPr>
              <w:t>L’exemple de la transposition de la liaison allylique dans le cas du méso-3,4-</w:t>
            </w:r>
            <w:proofErr w:type="spellStart"/>
            <w:r w:rsidRPr="00312527">
              <w:rPr>
                <w:rFonts w:asciiTheme="majorBidi" w:hAnsiTheme="majorBidi" w:cstheme="majorBidi"/>
                <w:sz w:val="24"/>
                <w:szCs w:val="24"/>
              </w:rPr>
              <w:t>diméthylhexa</w:t>
            </w:r>
            <w:proofErr w:type="spellEnd"/>
            <w:r w:rsidRPr="00312527">
              <w:rPr>
                <w:rFonts w:asciiTheme="majorBidi" w:hAnsiTheme="majorBidi" w:cstheme="majorBidi"/>
                <w:sz w:val="24"/>
                <w:szCs w:val="24"/>
              </w:rPr>
              <w:t xml:space="preserve">-1,5-diène  illustre bien cette </w:t>
            </w:r>
            <w:proofErr w:type="spellStart"/>
            <w:r w:rsidRPr="00312527">
              <w:rPr>
                <w:rFonts w:asciiTheme="majorBidi" w:hAnsiTheme="majorBidi" w:cstheme="majorBidi"/>
                <w:sz w:val="24"/>
                <w:szCs w:val="24"/>
              </w:rPr>
              <w:t>stéréosélectivité</w:t>
            </w:r>
            <w:proofErr w:type="spellEnd"/>
            <w:r w:rsidRPr="00312527">
              <w:rPr>
                <w:rFonts w:asciiTheme="majorBidi" w:hAnsiTheme="majorBidi" w:cstheme="majorBidi"/>
                <w:sz w:val="24"/>
                <w:szCs w:val="24"/>
              </w:rPr>
              <w:t> :</w:t>
            </w:r>
          </w:p>
          <w:p w:rsidR="008647C3" w:rsidRDefault="008647C3" w:rsidP="00AA1542">
            <w:pPr>
              <w:pStyle w:val="Sansinterligne"/>
              <w:spacing w:after="120" w:line="276" w:lineRule="auto"/>
              <w:jc w:val="both"/>
              <w:rPr>
                <w:rFonts w:asciiTheme="majorBidi" w:hAnsiTheme="majorBidi" w:cstheme="majorBidi"/>
                <w:sz w:val="24"/>
                <w:szCs w:val="24"/>
              </w:rPr>
            </w:pPr>
          </w:p>
          <w:p w:rsidR="00980E79" w:rsidRPr="00312527" w:rsidRDefault="008647C3" w:rsidP="008647C3">
            <w:pPr>
              <w:pStyle w:val="Sansinterligne"/>
              <w:spacing w:after="120" w:line="276" w:lineRule="auto"/>
              <w:jc w:val="center"/>
              <w:rPr>
                <w:rFonts w:asciiTheme="majorBidi" w:hAnsiTheme="majorBidi" w:cstheme="majorBidi"/>
                <w:sz w:val="24"/>
                <w:szCs w:val="24"/>
              </w:rPr>
            </w:pPr>
            <w:r>
              <w:object w:dxaOrig="10065" w:dyaOrig="21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2pt;height:66pt" o:ole="">
                  <v:imagedata r:id="rId4" o:title=""/>
                </v:shape>
                <o:OLEObject Type="Embed" ProgID="PBrush" ShapeID="_x0000_i1025" DrawAspect="Content" ObjectID="_1426939645" r:id="rId5"/>
              </w:object>
            </w:r>
          </w:p>
          <w:p w:rsidR="00980E79" w:rsidRDefault="00980E79" w:rsidP="00AA1542">
            <w:pPr>
              <w:pStyle w:val="Sansinterligne"/>
              <w:spacing w:after="120" w:line="312" w:lineRule="auto"/>
              <w:jc w:val="center"/>
              <w:rPr>
                <w:rFonts w:asciiTheme="majorBidi" w:hAnsiTheme="majorBidi" w:cstheme="majorBidi"/>
                <w:sz w:val="24"/>
                <w:szCs w:val="24"/>
              </w:rPr>
            </w:pPr>
          </w:p>
          <w:p w:rsidR="00980E79" w:rsidRPr="009D6566" w:rsidRDefault="00980E79" w:rsidP="00AA1542">
            <w:pPr>
              <w:pStyle w:val="Sansinterligne"/>
              <w:spacing w:after="120" w:line="276" w:lineRule="auto"/>
              <w:jc w:val="both"/>
              <w:rPr>
                <w:rFonts w:asciiTheme="majorBidi" w:hAnsiTheme="majorBidi" w:cstheme="majorBidi"/>
              </w:rPr>
            </w:pPr>
            <w:r w:rsidRPr="009D6566">
              <w:rPr>
                <w:rFonts w:asciiTheme="majorBidi" w:hAnsiTheme="majorBidi" w:cstheme="majorBidi"/>
                <w:noProof/>
                <w:sz w:val="24"/>
                <w:szCs w:val="24"/>
                <w:lang w:eastAsia="fr-CH"/>
              </w:rPr>
              <w:t>Ainsi, l’isomère ZE, bien que moins stable que l’isomère EE,  est obtenue à 99.7 %. C</w:t>
            </w:r>
            <w:r>
              <w:rPr>
                <w:rFonts w:asciiTheme="majorBidi" w:hAnsiTheme="majorBidi" w:cstheme="majorBidi"/>
                <w:noProof/>
                <w:sz w:val="24"/>
                <w:szCs w:val="24"/>
                <w:lang w:eastAsia="fr-CH"/>
              </w:rPr>
              <w:t>eci serait dû à la stabilité de l’état de transition (ET)</w:t>
            </w:r>
            <w:r w:rsidRPr="009D6566">
              <w:rPr>
                <w:rFonts w:asciiTheme="majorBidi" w:hAnsiTheme="majorBidi" w:cstheme="majorBidi"/>
                <w:noProof/>
                <w:sz w:val="24"/>
                <w:szCs w:val="24"/>
                <w:lang w:eastAsia="fr-CH"/>
              </w:rPr>
              <w:t xml:space="preserve"> qui conduit à sa formation.</w:t>
            </w:r>
            <w:r>
              <w:rPr>
                <w:rFonts w:asciiTheme="majorBidi" w:hAnsiTheme="majorBidi" w:cstheme="majorBidi"/>
                <w:noProof/>
                <w:sz w:val="24"/>
                <w:szCs w:val="24"/>
                <w:lang w:eastAsia="fr-CH"/>
              </w:rPr>
              <w:t xml:space="preserve"> Il a été montré que l’ET conduisant à la formation de l’isomère EE</w:t>
            </w:r>
            <w:r w:rsidRPr="009D6566">
              <w:rPr>
                <w:rFonts w:asciiTheme="majorBidi" w:hAnsiTheme="majorBidi" w:cstheme="majorBidi"/>
                <w:noProof/>
                <w:sz w:val="24"/>
                <w:szCs w:val="24"/>
                <w:lang w:eastAsia="fr-CH"/>
              </w:rPr>
              <w:t xml:space="preserve"> est </w:t>
            </w:r>
            <w:r>
              <w:rPr>
                <w:rFonts w:asciiTheme="majorBidi" w:hAnsiTheme="majorBidi" w:cstheme="majorBidi"/>
                <w:noProof/>
                <w:sz w:val="24"/>
                <w:szCs w:val="24"/>
                <w:lang w:eastAsia="fr-CH"/>
              </w:rPr>
              <w:t>d’</w:t>
            </w:r>
            <w:r w:rsidRPr="009D6566">
              <w:rPr>
                <w:rFonts w:asciiTheme="majorBidi" w:hAnsiTheme="majorBidi" w:cstheme="majorBidi"/>
                <w:noProof/>
                <w:sz w:val="24"/>
                <w:szCs w:val="24"/>
                <w:lang w:eastAsia="fr-CH"/>
              </w:rPr>
              <w:t xml:space="preserve">environ 25 kJ/mol moins stable que l’ET </w:t>
            </w:r>
            <w:r>
              <w:rPr>
                <w:rFonts w:asciiTheme="majorBidi" w:hAnsiTheme="majorBidi" w:cstheme="majorBidi"/>
                <w:noProof/>
                <w:sz w:val="24"/>
                <w:szCs w:val="24"/>
                <w:lang w:eastAsia="fr-CH"/>
              </w:rPr>
              <w:t>conduisant au produit ZE</w:t>
            </w:r>
            <w:r w:rsidRPr="009D6566">
              <w:rPr>
                <w:rFonts w:asciiTheme="majorBidi" w:hAnsiTheme="majorBidi" w:cstheme="majorBidi"/>
                <w:noProof/>
                <w:sz w:val="24"/>
                <w:szCs w:val="24"/>
                <w:lang w:eastAsia="fr-CH"/>
              </w:rPr>
              <w:t>.</w:t>
            </w:r>
          </w:p>
          <w:p w:rsidR="00980E79" w:rsidRDefault="00980E79" w:rsidP="00AA1542">
            <w:pPr>
              <w:pStyle w:val="Sansinterligne"/>
              <w:jc w:val="both"/>
              <w:rPr>
                <w:rFonts w:asciiTheme="majorBidi" w:hAnsiTheme="majorBidi" w:cstheme="majorBidi"/>
                <w:noProof/>
                <w:sz w:val="24"/>
                <w:szCs w:val="24"/>
                <w:lang w:eastAsia="fr-CH"/>
              </w:rPr>
            </w:pPr>
            <w:r>
              <w:rPr>
                <w:rFonts w:asciiTheme="majorBidi" w:hAnsiTheme="majorBidi" w:cstheme="majorBidi"/>
                <w:noProof/>
                <w:sz w:val="24"/>
                <w:szCs w:val="24"/>
                <w:lang w:eastAsia="fr-CH"/>
              </w:rPr>
              <w:t>Dans cette étude, le mécanisme du réarrangement de Cope du 3,4-diméthylhexa-1,5-diène du point de vue statique, avec le concept IRC, et dynamique, avec le modèle ADMP. Notre but est d’élucider du modèle M06-2X/6-31G**, les différents chemins réactionnels, la stabilité relative des différents états de transition, comparer entre les deux chemins statique et dynamique. Nous nous sommes posés deux questions principales : Y’aurait-t-il un supplément d’informations lorsqu’on utilise la méthode de dynamique moléculaire lors de l’étude des chemins réactionnels ? Pourait-t-on expliquer le taux des produits obtenus à travers les trajectoires dynamiques ?</w:t>
            </w:r>
          </w:p>
          <w:p w:rsidR="00980E79" w:rsidRDefault="00980E79" w:rsidP="00AA1542">
            <w:pPr>
              <w:pStyle w:val="Sansinterligne"/>
              <w:jc w:val="both"/>
              <w:rPr>
                <w:rFonts w:asciiTheme="majorBidi" w:hAnsiTheme="majorBidi" w:cstheme="majorBidi"/>
                <w:b/>
                <w:bCs/>
                <w:sz w:val="24"/>
                <w:szCs w:val="24"/>
              </w:rPr>
            </w:pPr>
          </w:p>
        </w:tc>
      </w:tr>
      <w:tr w:rsidR="00980E79" w:rsidTr="00AA1542">
        <w:tc>
          <w:tcPr>
            <w:tcW w:w="9497" w:type="dxa"/>
            <w:tcBorders>
              <w:top w:val="single" w:sz="8" w:space="0" w:color="auto"/>
            </w:tcBorders>
          </w:tcPr>
          <w:p w:rsidR="00AA1542" w:rsidRPr="00AA1542" w:rsidRDefault="00AA1542" w:rsidP="00AA1542">
            <w:pPr>
              <w:pStyle w:val="Sansinterligne"/>
              <w:rPr>
                <w:rFonts w:asciiTheme="majorBidi" w:hAnsiTheme="majorBidi" w:cstheme="majorBidi"/>
                <w:b/>
                <w:bCs/>
                <w:sz w:val="14"/>
                <w:szCs w:val="14"/>
              </w:rPr>
            </w:pPr>
          </w:p>
          <w:p w:rsidR="00980E79" w:rsidRPr="00E543E9" w:rsidRDefault="00980E79" w:rsidP="00AA1542">
            <w:pPr>
              <w:pStyle w:val="Sansinterligne"/>
              <w:rPr>
                <w:rFonts w:asciiTheme="majorBidi" w:hAnsiTheme="majorBidi" w:cstheme="majorBidi"/>
                <w:b/>
                <w:bCs/>
                <w:sz w:val="24"/>
                <w:szCs w:val="24"/>
              </w:rPr>
            </w:pPr>
            <w:r>
              <w:rPr>
                <w:rFonts w:asciiTheme="majorBidi" w:hAnsiTheme="majorBidi" w:cstheme="majorBidi"/>
                <w:b/>
                <w:bCs/>
                <w:sz w:val="24"/>
                <w:szCs w:val="24"/>
              </w:rPr>
              <w:t xml:space="preserve">* Thèse de Magister en </w:t>
            </w:r>
            <w:r w:rsidRPr="00E543E9">
              <w:rPr>
                <w:rFonts w:asciiTheme="majorBidi" w:hAnsiTheme="majorBidi" w:cstheme="majorBidi"/>
                <w:b/>
                <w:bCs/>
                <w:sz w:val="24"/>
                <w:szCs w:val="24"/>
              </w:rPr>
              <w:t>Physique Chimie Théorique Chimie Informatique</w:t>
            </w:r>
          </w:p>
          <w:p w:rsidR="00980E79" w:rsidRDefault="00980E79" w:rsidP="00AA1542">
            <w:pPr>
              <w:pStyle w:val="Sansinterligne"/>
              <w:rPr>
                <w:rFonts w:asciiTheme="majorBidi" w:hAnsiTheme="majorBidi" w:cstheme="majorBidi"/>
                <w:b/>
                <w:bCs/>
                <w:sz w:val="24"/>
                <w:szCs w:val="24"/>
              </w:rPr>
            </w:pPr>
            <w:r>
              <w:rPr>
                <w:rFonts w:asciiTheme="majorBidi" w:hAnsiTheme="majorBidi" w:cstheme="majorBidi"/>
                <w:b/>
                <w:bCs/>
                <w:sz w:val="24"/>
                <w:szCs w:val="24"/>
              </w:rPr>
              <w:t xml:space="preserve">** Directeur de Thèse : </w:t>
            </w:r>
            <w:proofErr w:type="spellStart"/>
            <w:r>
              <w:rPr>
                <w:rFonts w:asciiTheme="majorBidi" w:hAnsiTheme="majorBidi" w:cstheme="majorBidi"/>
                <w:b/>
                <w:bCs/>
                <w:sz w:val="24"/>
                <w:szCs w:val="24"/>
              </w:rPr>
              <w:t>Ourida</w:t>
            </w:r>
            <w:proofErr w:type="spellEnd"/>
            <w:r>
              <w:rPr>
                <w:rFonts w:asciiTheme="majorBidi" w:hAnsiTheme="majorBidi" w:cstheme="majorBidi"/>
                <w:b/>
                <w:bCs/>
                <w:sz w:val="24"/>
                <w:szCs w:val="24"/>
              </w:rPr>
              <w:t xml:space="preserve"> OUAMERALI, Professeur à l’USTHB</w:t>
            </w:r>
          </w:p>
        </w:tc>
      </w:tr>
    </w:tbl>
    <w:p w:rsidR="00E543E9" w:rsidRPr="00E543E9" w:rsidRDefault="00E543E9" w:rsidP="00AA1542">
      <w:pPr>
        <w:pStyle w:val="Sansinterligne"/>
        <w:rPr>
          <w:rFonts w:asciiTheme="majorBidi" w:hAnsiTheme="majorBidi" w:cstheme="majorBidi"/>
          <w:b/>
          <w:bCs/>
          <w:sz w:val="24"/>
          <w:szCs w:val="24"/>
        </w:rPr>
      </w:pPr>
    </w:p>
    <w:sectPr w:rsidR="00E543E9" w:rsidRPr="00E543E9" w:rsidSect="00AA1542">
      <w:pgSz w:w="11906" w:h="16838"/>
      <w:pgMar w:top="567" w:right="851" w:bottom="709" w:left="851" w:header="709" w:footer="709" w:gutter="567"/>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12527"/>
    <w:rsid w:val="001B7389"/>
    <w:rsid w:val="00312527"/>
    <w:rsid w:val="00387FF4"/>
    <w:rsid w:val="005B6BB9"/>
    <w:rsid w:val="00601DA4"/>
    <w:rsid w:val="006B0FD8"/>
    <w:rsid w:val="0084715A"/>
    <w:rsid w:val="008647C3"/>
    <w:rsid w:val="00866907"/>
    <w:rsid w:val="00980E79"/>
    <w:rsid w:val="00AA1542"/>
    <w:rsid w:val="00B4720F"/>
    <w:rsid w:val="00E543E9"/>
    <w:rsid w:val="00E93575"/>
    <w:rsid w:val="00F53E94"/>
    <w:rsid w:val="00FA4727"/>
  </w:rsids>
  <m:mathPr>
    <m:mathFont m:val="Cambria Math"/>
    <m:brkBin m:val="before"/>
    <m:brkBinSub m:val="--"/>
    <m:smallFrac m:val="off"/>
    <m:dispDef/>
    <m:lMargin m:val="0"/>
    <m:rMargin m:val="0"/>
    <m:defJc m:val="centerGroup"/>
    <m:wrapIndent m:val="1440"/>
    <m:intLim m:val="subSup"/>
    <m:naryLim m:val="undOvr"/>
  </m:mathPr>
  <w:themeFontLang w:val="fr-CH"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CH"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7FF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link w:val="SansinterligneCar"/>
    <w:uiPriority w:val="1"/>
    <w:qFormat/>
    <w:rsid w:val="00312527"/>
    <w:pPr>
      <w:spacing w:after="0" w:line="240" w:lineRule="auto"/>
    </w:pPr>
    <w:rPr>
      <w:rFonts w:ascii="Calibri" w:eastAsia="Calibri" w:hAnsi="Calibri" w:cs="Arial"/>
    </w:rPr>
  </w:style>
  <w:style w:type="paragraph" w:styleId="Textedebulles">
    <w:name w:val="Balloon Text"/>
    <w:basedOn w:val="Normal"/>
    <w:link w:val="TextedebullesCar"/>
    <w:uiPriority w:val="99"/>
    <w:semiHidden/>
    <w:unhideWhenUsed/>
    <w:rsid w:val="0031252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12527"/>
    <w:rPr>
      <w:rFonts w:ascii="Tahoma" w:hAnsi="Tahoma" w:cs="Tahoma"/>
      <w:sz w:val="16"/>
      <w:szCs w:val="16"/>
    </w:rPr>
  </w:style>
  <w:style w:type="table" w:styleId="Grilledutableau">
    <w:name w:val="Table Grid"/>
    <w:basedOn w:val="TableauNormal"/>
    <w:uiPriority w:val="59"/>
    <w:rsid w:val="00980E7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ansinterligneCar">
    <w:name w:val="Sans interligne Car"/>
    <w:basedOn w:val="Policepardfaut"/>
    <w:link w:val="Sansinterligne"/>
    <w:uiPriority w:val="1"/>
    <w:rsid w:val="00866907"/>
    <w:rPr>
      <w:rFonts w:ascii="Calibri" w:eastAsia="Calibri" w:hAnsi="Calibri" w:cs="Aria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389</Words>
  <Characters>2141</Characters>
  <Application>Microsoft Office Word</Application>
  <DocSecurity>0</DocSecurity>
  <Lines>17</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rekhis</cp:lastModifiedBy>
  <cp:revision>2</cp:revision>
  <dcterms:created xsi:type="dcterms:W3CDTF">2013-04-08T10:51:00Z</dcterms:created>
  <dcterms:modified xsi:type="dcterms:W3CDTF">2013-04-08T10:51:00Z</dcterms:modified>
</cp:coreProperties>
</file>