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6A3E" w:rsidRPr="004F6A3E" w:rsidRDefault="004F6A3E" w:rsidP="004F6A3E">
      <w:pPr>
        <w:bidi w:val="0"/>
        <w:rPr>
          <w:lang w:val="fr-FR" w:bidi="ar-DZ"/>
        </w:rPr>
      </w:pPr>
      <w:r w:rsidRPr="004F6A3E">
        <w:rPr>
          <w:lang w:val="fr-FR" w:bidi="ar-DZ"/>
        </w:rPr>
        <w:t>Ce travail  porte sur  l'étude de la miscibilité du système binaire poly(styrène -co-acide cinnamique) / poly(vinylphénol) (PSAC/PVPh).</w:t>
      </w:r>
    </w:p>
    <w:p w:rsidR="004F6A3E" w:rsidRPr="004F6A3E" w:rsidRDefault="004F6A3E" w:rsidP="004F6A3E">
      <w:pPr>
        <w:bidi w:val="0"/>
        <w:rPr>
          <w:lang w:val="fr-FR" w:bidi="ar-DZ"/>
        </w:rPr>
      </w:pPr>
      <w:r w:rsidRPr="004F6A3E">
        <w:rPr>
          <w:lang w:val="fr-FR" w:bidi="ar-DZ"/>
        </w:rPr>
        <w:t>Le copolymère poly (styrène -co- acide cinnamique) a été synthétisé en solution par voie radicalaire à différentes compositions en acide cinnamique. Les copolymères obtenus notés PSAC6, PSAC13, PSAC17et PSAC26 ont alors été purifiés et caractérisés et la composition relative en acide cinnamique de chaque copolymère synthétisé a été déterminée par dosage chimique des groupements carboxyliques.</w:t>
      </w:r>
    </w:p>
    <w:p w:rsidR="004F6A3E" w:rsidRPr="004F6A3E" w:rsidRDefault="004F6A3E" w:rsidP="004F6A3E">
      <w:pPr>
        <w:bidi w:val="0"/>
        <w:rPr>
          <w:lang w:val="fr-FR" w:bidi="ar-DZ"/>
        </w:rPr>
      </w:pPr>
      <w:r w:rsidRPr="004F6A3E">
        <w:rPr>
          <w:lang w:val="fr-FR" w:bidi="ar-DZ"/>
        </w:rPr>
        <w:t xml:space="preserve">L'étude viscosimétrique des systèmes binaires PSAC/solvant, PVPh/solvant et ternaires PSAC/PVPh/solvant, élaborés dans les proportions en poids 1/2, 1/1 et 2/1, a été menée dans le dioxane, à la température de 25°C en mettant à profit les approches théoriques de Huggins, Kraemer, Krigbaum-Wall, K.K.Chee, Cragg-Bigelow et Catsiff-Hewett. </w:t>
      </w:r>
    </w:p>
    <w:p w:rsidR="004F6A3E" w:rsidRPr="004F6A3E" w:rsidRDefault="004F6A3E" w:rsidP="004F6A3E">
      <w:pPr>
        <w:bidi w:val="0"/>
        <w:rPr>
          <w:lang w:val="fr-FR" w:bidi="ar-DZ"/>
        </w:rPr>
      </w:pPr>
      <w:r w:rsidRPr="004F6A3E">
        <w:rPr>
          <w:lang w:val="fr-FR" w:bidi="ar-DZ"/>
        </w:rPr>
        <w:t>Les résultats expérimentaux obtenus, ont permis de mettre en évidence l'effet du taux d'acide cinnamique dans le PSAC sur les interactions spécifiques au sein des solutions élaborées.</w:t>
      </w:r>
    </w:p>
    <w:p w:rsidR="00C51C00" w:rsidRPr="004F6A3E" w:rsidRDefault="004F6A3E" w:rsidP="004F6A3E">
      <w:pPr>
        <w:bidi w:val="0"/>
        <w:rPr>
          <w:rFonts w:hint="cs"/>
          <w:lang w:val="fr-FR" w:bidi="ar-DZ"/>
        </w:rPr>
      </w:pPr>
      <w:r w:rsidRPr="004F6A3E">
        <w:rPr>
          <w:lang w:val="fr-FR" w:bidi="ar-DZ"/>
        </w:rPr>
        <w:t>D'autre part, les différentes interactions spécifiques, que développent les polymères isolés et dans les mélanges élaborés, ont été confirmées par Spectroscopie Infrarouge à Transformée de Fourier (FTIR) et Analyse Enthalpique Différentielle  (DSC).</w:t>
      </w:r>
    </w:p>
    <w:sectPr w:rsidR="00C51C00" w:rsidRPr="004F6A3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4F6A3E"/>
    <w:rsid w:val="004F6A3E"/>
    <w:rsid w:val="005F47AF"/>
    <w:rsid w:val="00C51C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1C0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1112</Characters>
  <Application>Microsoft Office Word</Application>
  <DocSecurity>0</DocSecurity>
  <Lines>9</Lines>
  <Paragraphs>2</Paragraphs>
  <ScaleCrop>false</ScaleCrop>
  <Company/>
  <LinksUpToDate>false</LinksUpToDate>
  <CharactersWithSpaces>1304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2015-10-29T07:37:00Z</dcterms:created>
  <dcterms:modified xsi:type="dcterms:W3CDTF">2015-10-29T07:37:00Z</dcterms:modified>
</cp:coreProperties>
</file>