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3038" w:rsidRPr="001F1FCF" w:rsidRDefault="005E3038" w:rsidP="005E3038">
      <w:pPr>
        <w:spacing w:line="360" w:lineRule="auto"/>
        <w:jc w:val="both"/>
        <w:rPr>
          <w:rFonts w:asciiTheme="majorBidi" w:hAnsiTheme="majorBidi" w:cstheme="majorBidi"/>
          <w:sz w:val="24"/>
          <w:szCs w:val="24"/>
        </w:rPr>
      </w:pPr>
      <w:bookmarkStart w:id="0" w:name="_GoBack"/>
      <w:bookmarkEnd w:id="0"/>
      <w:r w:rsidRPr="001F1FCF">
        <w:rPr>
          <w:rFonts w:asciiTheme="majorBidi" w:hAnsiTheme="majorBidi" w:cstheme="majorBidi"/>
          <w:b/>
          <w:bCs/>
          <w:sz w:val="32"/>
          <w:szCs w:val="32"/>
          <w:u w:val="single"/>
        </w:rPr>
        <w:t>Résumé</w:t>
      </w:r>
      <w:r w:rsidR="001F1FCF">
        <w:rPr>
          <w:rFonts w:asciiTheme="majorBidi" w:hAnsiTheme="majorBidi" w:cstheme="majorBidi"/>
          <w:sz w:val="24"/>
          <w:szCs w:val="24"/>
        </w:rPr>
        <w:t> :</w:t>
      </w:r>
      <w:r w:rsidRPr="001F1FCF">
        <w:rPr>
          <w:rFonts w:asciiTheme="majorBidi" w:hAnsiTheme="majorBidi" w:cstheme="majorBidi"/>
          <w:sz w:val="24"/>
          <w:szCs w:val="24"/>
        </w:rPr>
        <w:t xml:space="preserve"> </w:t>
      </w:r>
    </w:p>
    <w:p w:rsidR="005E3038" w:rsidRPr="005E3038" w:rsidRDefault="005E3038" w:rsidP="000E3963">
      <w:pPr>
        <w:spacing w:line="360" w:lineRule="auto"/>
        <w:jc w:val="both"/>
        <w:rPr>
          <w:rFonts w:asciiTheme="majorBidi" w:hAnsiTheme="majorBidi" w:cstheme="majorBidi"/>
          <w:sz w:val="24"/>
          <w:szCs w:val="24"/>
        </w:rPr>
      </w:pPr>
      <w:r w:rsidRPr="005E3038">
        <w:rPr>
          <w:rFonts w:asciiTheme="majorBidi" w:hAnsiTheme="majorBidi" w:cstheme="majorBidi"/>
          <w:sz w:val="24"/>
          <w:szCs w:val="24"/>
        </w:rPr>
        <w:t>Ce travail de thèse s’est attaché à l’étude de la potentialité de deux types de macromolécules naturelles (</w:t>
      </w:r>
      <w:proofErr w:type="spellStart"/>
      <w:r w:rsidRPr="005E3038">
        <w:rPr>
          <w:rFonts w:asciiTheme="majorBidi" w:hAnsiTheme="majorBidi" w:cstheme="majorBidi"/>
          <w:sz w:val="24"/>
          <w:szCs w:val="24"/>
        </w:rPr>
        <w:t>biopolymères</w:t>
      </w:r>
      <w:proofErr w:type="spellEnd"/>
      <w:r w:rsidRPr="005E3038">
        <w:rPr>
          <w:rFonts w:asciiTheme="majorBidi" w:hAnsiTheme="majorBidi" w:cstheme="majorBidi"/>
          <w:sz w:val="24"/>
          <w:szCs w:val="24"/>
        </w:rPr>
        <w:t xml:space="preserve">), en l’occurrence une protéine de lait (le </w:t>
      </w:r>
      <w:proofErr w:type="spellStart"/>
      <w:r w:rsidRPr="005E3038">
        <w:rPr>
          <w:rFonts w:asciiTheme="majorBidi" w:hAnsiTheme="majorBidi" w:cstheme="majorBidi"/>
          <w:sz w:val="24"/>
          <w:szCs w:val="24"/>
        </w:rPr>
        <w:t>caséinate</w:t>
      </w:r>
      <w:proofErr w:type="spellEnd"/>
      <w:r w:rsidRPr="005E3038">
        <w:rPr>
          <w:rFonts w:asciiTheme="majorBidi" w:hAnsiTheme="majorBidi" w:cstheme="majorBidi"/>
          <w:sz w:val="24"/>
          <w:szCs w:val="24"/>
        </w:rPr>
        <w:t xml:space="preserve"> de sodium) et un polysaccharide exo-bactérien (</w:t>
      </w:r>
      <w:proofErr w:type="spellStart"/>
      <w:r w:rsidRPr="005E3038">
        <w:rPr>
          <w:rFonts w:asciiTheme="majorBidi" w:hAnsiTheme="majorBidi" w:cstheme="majorBidi"/>
          <w:sz w:val="24"/>
          <w:szCs w:val="24"/>
        </w:rPr>
        <w:t>xanthane</w:t>
      </w:r>
      <w:proofErr w:type="spellEnd"/>
      <w:r w:rsidRPr="005E3038">
        <w:rPr>
          <w:rFonts w:asciiTheme="majorBidi" w:hAnsiTheme="majorBidi" w:cstheme="majorBidi"/>
          <w:sz w:val="24"/>
          <w:szCs w:val="24"/>
        </w:rPr>
        <w:t>), pour la conception des systèmes à structure complexe, destinés à la délivrance des subs</w:t>
      </w:r>
      <w:r w:rsidR="000E3963">
        <w:rPr>
          <w:rFonts w:asciiTheme="majorBidi" w:hAnsiTheme="majorBidi" w:cstheme="majorBidi"/>
          <w:sz w:val="24"/>
          <w:szCs w:val="24"/>
        </w:rPr>
        <w:t xml:space="preserve">tances actives. Il s’agit </w:t>
      </w:r>
      <w:r w:rsidRPr="005E3038">
        <w:rPr>
          <w:rFonts w:asciiTheme="majorBidi" w:hAnsiTheme="majorBidi" w:cstheme="majorBidi"/>
          <w:sz w:val="24"/>
          <w:szCs w:val="24"/>
        </w:rPr>
        <w:t xml:space="preserve">d’une émulsion multiple, un système multi-compartimenté agissant comme microréservoirs, pour la </w:t>
      </w:r>
      <w:proofErr w:type="spellStart"/>
      <w:r w:rsidRPr="005E3038">
        <w:rPr>
          <w:rFonts w:asciiTheme="majorBidi" w:hAnsiTheme="majorBidi" w:cstheme="majorBidi"/>
          <w:sz w:val="24"/>
          <w:szCs w:val="24"/>
        </w:rPr>
        <w:t>microencapsulation</w:t>
      </w:r>
      <w:proofErr w:type="spellEnd"/>
      <w:r w:rsidRPr="005E3038">
        <w:rPr>
          <w:rFonts w:asciiTheme="majorBidi" w:hAnsiTheme="majorBidi" w:cstheme="majorBidi"/>
          <w:sz w:val="24"/>
          <w:szCs w:val="24"/>
        </w:rPr>
        <w:t xml:space="preserve"> de substances labiles et le relargage contrôlé des substances incompatibles séparées par une membrane liquide.</w:t>
      </w:r>
    </w:p>
    <w:p w:rsidR="005E3038" w:rsidRPr="005E3038" w:rsidRDefault="005E3038" w:rsidP="009D1846">
      <w:pPr>
        <w:spacing w:line="360" w:lineRule="auto"/>
        <w:jc w:val="both"/>
        <w:rPr>
          <w:rFonts w:asciiTheme="majorBidi" w:hAnsiTheme="majorBidi" w:cstheme="majorBidi"/>
          <w:sz w:val="24"/>
          <w:szCs w:val="24"/>
        </w:rPr>
      </w:pPr>
      <w:r w:rsidRPr="005E3038">
        <w:rPr>
          <w:rFonts w:asciiTheme="majorBidi" w:hAnsiTheme="majorBidi" w:cstheme="majorBidi"/>
          <w:sz w:val="24"/>
          <w:szCs w:val="24"/>
        </w:rPr>
        <w:t xml:space="preserve">Le </w:t>
      </w:r>
      <w:proofErr w:type="spellStart"/>
      <w:r w:rsidRPr="005E3038">
        <w:rPr>
          <w:rFonts w:asciiTheme="majorBidi" w:hAnsiTheme="majorBidi" w:cstheme="majorBidi"/>
          <w:sz w:val="24"/>
          <w:szCs w:val="24"/>
        </w:rPr>
        <w:t>caséinate</w:t>
      </w:r>
      <w:proofErr w:type="spellEnd"/>
      <w:r w:rsidRPr="005E3038">
        <w:rPr>
          <w:rFonts w:asciiTheme="majorBidi" w:hAnsiTheme="majorBidi" w:cstheme="majorBidi"/>
          <w:sz w:val="24"/>
          <w:szCs w:val="24"/>
        </w:rPr>
        <w:t xml:space="preserve"> de sodium et le </w:t>
      </w:r>
      <w:proofErr w:type="spellStart"/>
      <w:r w:rsidRPr="005E3038">
        <w:rPr>
          <w:rFonts w:asciiTheme="majorBidi" w:hAnsiTheme="majorBidi" w:cstheme="majorBidi"/>
          <w:sz w:val="24"/>
          <w:szCs w:val="24"/>
        </w:rPr>
        <w:t>xanthane</w:t>
      </w:r>
      <w:proofErr w:type="spellEnd"/>
      <w:r w:rsidRPr="005E3038">
        <w:rPr>
          <w:rFonts w:asciiTheme="majorBidi" w:hAnsiTheme="majorBidi" w:cstheme="majorBidi"/>
          <w:sz w:val="24"/>
          <w:szCs w:val="24"/>
        </w:rPr>
        <w:t xml:space="preserve"> déterminent la stabilité des émulsions et permettent de façonner leur microstructure. La maîtrise des comportements de ces deux </w:t>
      </w:r>
      <w:proofErr w:type="spellStart"/>
      <w:r w:rsidRPr="005E3038">
        <w:rPr>
          <w:rFonts w:asciiTheme="majorBidi" w:hAnsiTheme="majorBidi" w:cstheme="majorBidi"/>
          <w:sz w:val="24"/>
          <w:szCs w:val="24"/>
        </w:rPr>
        <w:t>biopolymères</w:t>
      </w:r>
      <w:proofErr w:type="spellEnd"/>
      <w:r w:rsidRPr="005E3038">
        <w:rPr>
          <w:rFonts w:asciiTheme="majorBidi" w:hAnsiTheme="majorBidi" w:cstheme="majorBidi"/>
          <w:sz w:val="24"/>
          <w:szCs w:val="24"/>
        </w:rPr>
        <w:t xml:space="preserve"> aux interfaces des émulsions a été achevée suite à leur complexation par le biais des interactions hydrophobes. Cette </w:t>
      </w:r>
      <w:r w:rsidR="000E3963">
        <w:rPr>
          <w:rFonts w:asciiTheme="majorBidi" w:hAnsiTheme="majorBidi" w:cstheme="majorBidi"/>
          <w:sz w:val="24"/>
          <w:szCs w:val="24"/>
        </w:rPr>
        <w:t>complexation</w:t>
      </w:r>
      <w:r w:rsidRPr="005E3038">
        <w:rPr>
          <w:rFonts w:asciiTheme="majorBidi" w:hAnsiTheme="majorBidi" w:cstheme="majorBidi"/>
          <w:sz w:val="24"/>
          <w:szCs w:val="24"/>
        </w:rPr>
        <w:t xml:space="preserve"> a été mise en évidence moyennant des techniques de</w:t>
      </w:r>
      <w:r w:rsidR="000E3963">
        <w:rPr>
          <w:rFonts w:asciiTheme="majorBidi" w:hAnsiTheme="majorBidi" w:cstheme="majorBidi"/>
          <w:sz w:val="24"/>
          <w:szCs w:val="24"/>
        </w:rPr>
        <w:t xml:space="preserve"> caractérisation de</w:t>
      </w:r>
      <w:r w:rsidRPr="005E3038">
        <w:rPr>
          <w:rFonts w:asciiTheme="majorBidi" w:hAnsiTheme="majorBidi" w:cstheme="majorBidi"/>
          <w:sz w:val="24"/>
          <w:szCs w:val="24"/>
        </w:rPr>
        <w:t xml:space="preserve"> FTIR et de DLS</w:t>
      </w:r>
      <w:r w:rsidR="000E3963">
        <w:rPr>
          <w:rFonts w:asciiTheme="majorBidi" w:hAnsiTheme="majorBidi" w:cstheme="majorBidi"/>
          <w:sz w:val="24"/>
          <w:szCs w:val="24"/>
        </w:rPr>
        <w:t xml:space="preserve"> </w:t>
      </w:r>
      <w:r w:rsidR="000E3963" w:rsidRPr="000E3963">
        <w:rPr>
          <w:rFonts w:asciiTheme="majorBidi" w:hAnsiTheme="majorBidi" w:cstheme="majorBidi"/>
          <w:sz w:val="24"/>
          <w:szCs w:val="24"/>
        </w:rPr>
        <w:t xml:space="preserve">(Diffusion Light </w:t>
      </w:r>
      <w:proofErr w:type="spellStart"/>
      <w:r w:rsidR="000E3963" w:rsidRPr="000E3963">
        <w:rPr>
          <w:rFonts w:asciiTheme="majorBidi" w:hAnsiTheme="majorBidi" w:cstheme="majorBidi"/>
          <w:sz w:val="24"/>
          <w:szCs w:val="24"/>
        </w:rPr>
        <w:t>Scattering</w:t>
      </w:r>
      <w:proofErr w:type="spellEnd"/>
      <w:r w:rsidR="000E3963" w:rsidRPr="000E3963">
        <w:rPr>
          <w:rFonts w:asciiTheme="majorBidi" w:hAnsiTheme="majorBidi" w:cstheme="majorBidi"/>
          <w:sz w:val="24"/>
          <w:szCs w:val="24"/>
        </w:rPr>
        <w:t>)</w:t>
      </w:r>
      <w:r w:rsidRPr="005E3038">
        <w:rPr>
          <w:rFonts w:asciiTheme="majorBidi" w:hAnsiTheme="majorBidi" w:cstheme="majorBidi"/>
          <w:sz w:val="24"/>
          <w:szCs w:val="24"/>
        </w:rPr>
        <w:t xml:space="preserve"> qui</w:t>
      </w:r>
      <w:r w:rsidR="000E3963">
        <w:rPr>
          <w:rFonts w:asciiTheme="majorBidi" w:hAnsiTheme="majorBidi" w:cstheme="majorBidi"/>
          <w:sz w:val="24"/>
          <w:szCs w:val="24"/>
        </w:rPr>
        <w:t xml:space="preserve"> ont révélé, par ailleurs, </w:t>
      </w:r>
      <w:r w:rsidRPr="005E3038">
        <w:rPr>
          <w:rFonts w:asciiTheme="majorBidi" w:hAnsiTheme="majorBidi" w:cstheme="majorBidi"/>
          <w:sz w:val="24"/>
          <w:szCs w:val="24"/>
        </w:rPr>
        <w:t xml:space="preserve">sa nature réversible. </w:t>
      </w:r>
      <w:r w:rsidR="000E3963" w:rsidRPr="000E3963">
        <w:rPr>
          <w:rFonts w:asciiTheme="majorBidi" w:hAnsiTheme="majorBidi" w:cstheme="majorBidi"/>
          <w:sz w:val="24"/>
          <w:szCs w:val="24"/>
        </w:rPr>
        <w:t xml:space="preserve">La variation des facteurs de contrôle, à savoir, la teneur des deux </w:t>
      </w:r>
      <w:r w:rsidRPr="005E3038">
        <w:rPr>
          <w:rFonts w:asciiTheme="majorBidi" w:hAnsiTheme="majorBidi" w:cstheme="majorBidi"/>
          <w:sz w:val="24"/>
          <w:szCs w:val="24"/>
        </w:rPr>
        <w:t xml:space="preserve"> </w:t>
      </w:r>
      <w:proofErr w:type="spellStart"/>
      <w:r w:rsidRPr="005E3038">
        <w:rPr>
          <w:rFonts w:asciiTheme="majorBidi" w:hAnsiTheme="majorBidi" w:cstheme="majorBidi"/>
          <w:sz w:val="24"/>
          <w:szCs w:val="24"/>
        </w:rPr>
        <w:t>biopolymères</w:t>
      </w:r>
      <w:proofErr w:type="spellEnd"/>
      <w:r w:rsidRPr="005E3038">
        <w:rPr>
          <w:rFonts w:asciiTheme="majorBidi" w:hAnsiTheme="majorBidi" w:cstheme="majorBidi"/>
          <w:sz w:val="24"/>
          <w:szCs w:val="24"/>
        </w:rPr>
        <w:t xml:space="preserve"> et </w:t>
      </w:r>
      <w:r w:rsidR="000E3963">
        <w:rPr>
          <w:rFonts w:asciiTheme="majorBidi" w:hAnsiTheme="majorBidi" w:cstheme="majorBidi"/>
          <w:sz w:val="24"/>
          <w:szCs w:val="24"/>
        </w:rPr>
        <w:t>du</w:t>
      </w:r>
      <w:r w:rsidRPr="005E3038">
        <w:rPr>
          <w:rFonts w:asciiTheme="majorBidi" w:hAnsiTheme="majorBidi" w:cstheme="majorBidi"/>
          <w:sz w:val="24"/>
          <w:szCs w:val="24"/>
        </w:rPr>
        <w:t xml:space="preserve"> sel sodique en solution, </w:t>
      </w:r>
      <w:r w:rsidR="000E3963" w:rsidRPr="000E3963">
        <w:rPr>
          <w:rFonts w:asciiTheme="majorBidi" w:hAnsiTheme="majorBidi" w:cstheme="majorBidi"/>
          <w:sz w:val="24"/>
          <w:szCs w:val="24"/>
        </w:rPr>
        <w:t xml:space="preserve">par la méthode de surface de réponses, RSM, a permis </w:t>
      </w:r>
      <w:r w:rsidRPr="005E3038">
        <w:rPr>
          <w:rFonts w:asciiTheme="majorBidi" w:hAnsiTheme="majorBidi" w:cstheme="majorBidi"/>
          <w:sz w:val="24"/>
          <w:szCs w:val="24"/>
        </w:rPr>
        <w:t xml:space="preserve">l’obtention des complexes </w:t>
      </w:r>
      <w:r w:rsidR="000E3963">
        <w:rPr>
          <w:rFonts w:asciiTheme="majorBidi" w:hAnsiTheme="majorBidi" w:cstheme="majorBidi"/>
          <w:sz w:val="24"/>
          <w:szCs w:val="24"/>
        </w:rPr>
        <w:t xml:space="preserve">en s’appuyant sur </w:t>
      </w:r>
      <w:r w:rsidRPr="005E3038">
        <w:rPr>
          <w:rFonts w:asciiTheme="majorBidi" w:hAnsiTheme="majorBidi" w:cstheme="majorBidi"/>
          <w:sz w:val="24"/>
          <w:szCs w:val="24"/>
        </w:rPr>
        <w:t>des investigations rhéologiques</w:t>
      </w:r>
      <w:r w:rsidR="000E3963">
        <w:rPr>
          <w:rFonts w:asciiTheme="majorBidi" w:hAnsiTheme="majorBidi" w:cstheme="majorBidi"/>
          <w:sz w:val="24"/>
          <w:szCs w:val="24"/>
        </w:rPr>
        <w:t xml:space="preserve">. </w:t>
      </w:r>
      <w:r w:rsidRPr="005E3038">
        <w:rPr>
          <w:rFonts w:asciiTheme="majorBidi" w:hAnsiTheme="majorBidi" w:cstheme="majorBidi"/>
          <w:sz w:val="24"/>
          <w:szCs w:val="24"/>
        </w:rPr>
        <w:t>Ces complexes se présentent en mixtures homogènes formant des gels, un cas peu rencontré avec ces deux macromolécules, qui laissent présager plutôt des interactions négatives traduites en termes d’incompatibilité thermodynamique, lorsqu’elles sont en présence concomitante. Le sel  mène à une accentuation spectaculaire de ces états structuraux, qui se manifestent dans le cas favorable par une amélioration des attributs rhéologiques des complexes.</w:t>
      </w:r>
    </w:p>
    <w:p w:rsidR="005E3038" w:rsidRPr="005E3038" w:rsidRDefault="005E3038" w:rsidP="005E3038">
      <w:pPr>
        <w:spacing w:line="360" w:lineRule="auto"/>
        <w:jc w:val="both"/>
        <w:rPr>
          <w:rFonts w:asciiTheme="majorBidi" w:hAnsiTheme="majorBidi" w:cstheme="majorBidi"/>
          <w:sz w:val="24"/>
          <w:szCs w:val="24"/>
        </w:rPr>
      </w:pPr>
      <w:r w:rsidRPr="005E3038">
        <w:rPr>
          <w:rFonts w:asciiTheme="majorBidi" w:hAnsiTheme="majorBidi" w:cstheme="majorBidi"/>
          <w:sz w:val="24"/>
          <w:szCs w:val="24"/>
        </w:rPr>
        <w:t xml:space="preserve">L’émulsion multiple, ainsi formulée, a servi de système de </w:t>
      </w:r>
      <w:proofErr w:type="spellStart"/>
      <w:r w:rsidRPr="005E3038">
        <w:rPr>
          <w:rFonts w:asciiTheme="majorBidi" w:hAnsiTheme="majorBidi" w:cstheme="majorBidi"/>
          <w:sz w:val="24"/>
          <w:szCs w:val="24"/>
        </w:rPr>
        <w:t>co</w:t>
      </w:r>
      <w:proofErr w:type="spellEnd"/>
      <w:r w:rsidRPr="005E3038">
        <w:rPr>
          <w:rFonts w:asciiTheme="majorBidi" w:hAnsiTheme="majorBidi" w:cstheme="majorBidi"/>
          <w:sz w:val="24"/>
          <w:szCs w:val="24"/>
        </w:rPr>
        <w:t xml:space="preserve">-administration des substances anti-oxydantes, la vitamine C et le sélénium incompatibles, et les vitamines A et E liposolubles, souvent recommandées en associations, en pharmaco-nutrition </w:t>
      </w:r>
      <w:proofErr w:type="spellStart"/>
      <w:r w:rsidRPr="005E3038">
        <w:rPr>
          <w:rFonts w:asciiTheme="majorBidi" w:hAnsiTheme="majorBidi" w:cstheme="majorBidi"/>
          <w:sz w:val="24"/>
          <w:szCs w:val="24"/>
        </w:rPr>
        <w:t>immuno</w:t>
      </w:r>
      <w:proofErr w:type="spellEnd"/>
      <w:r w:rsidRPr="005E3038">
        <w:rPr>
          <w:rFonts w:asciiTheme="majorBidi" w:hAnsiTheme="majorBidi" w:cstheme="majorBidi"/>
          <w:sz w:val="24"/>
          <w:szCs w:val="24"/>
        </w:rPr>
        <w:t xml:space="preserve">-modulatrice en réanimation. La libération des actifs se fait au site et </w:t>
      </w:r>
      <w:proofErr w:type="gramStart"/>
      <w:r w:rsidRPr="005E3038">
        <w:rPr>
          <w:rFonts w:asciiTheme="majorBidi" w:hAnsiTheme="majorBidi" w:cstheme="majorBidi"/>
          <w:sz w:val="24"/>
          <w:szCs w:val="24"/>
        </w:rPr>
        <w:t>au moment désirés</w:t>
      </w:r>
      <w:proofErr w:type="gramEnd"/>
      <w:r w:rsidRPr="005E3038">
        <w:rPr>
          <w:rFonts w:asciiTheme="majorBidi" w:hAnsiTheme="majorBidi" w:cstheme="majorBidi"/>
          <w:sz w:val="24"/>
          <w:szCs w:val="24"/>
        </w:rPr>
        <w:t xml:space="preserve"> par mise à profit de la digestion enzymatique.</w:t>
      </w:r>
    </w:p>
    <w:p w:rsidR="005E3038" w:rsidRPr="005E3038" w:rsidRDefault="005E3038" w:rsidP="005E3038">
      <w:pPr>
        <w:spacing w:line="360" w:lineRule="auto"/>
        <w:jc w:val="both"/>
        <w:rPr>
          <w:rFonts w:asciiTheme="majorBidi" w:hAnsiTheme="majorBidi" w:cstheme="majorBidi"/>
          <w:sz w:val="24"/>
          <w:szCs w:val="24"/>
        </w:rPr>
      </w:pPr>
    </w:p>
    <w:p w:rsidR="005E3038" w:rsidRPr="005E3038" w:rsidRDefault="005E3038" w:rsidP="001F1FCF">
      <w:pPr>
        <w:spacing w:line="360" w:lineRule="auto"/>
        <w:jc w:val="both"/>
        <w:rPr>
          <w:rFonts w:asciiTheme="majorBidi" w:hAnsiTheme="majorBidi" w:cstheme="majorBidi"/>
          <w:sz w:val="24"/>
          <w:szCs w:val="24"/>
        </w:rPr>
      </w:pPr>
    </w:p>
    <w:sectPr w:rsidR="005E3038" w:rsidRPr="005E303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2ED3"/>
    <w:rsid w:val="00062C70"/>
    <w:rsid w:val="000D1A29"/>
    <w:rsid w:val="000E3963"/>
    <w:rsid w:val="001F1FCF"/>
    <w:rsid w:val="00302E1D"/>
    <w:rsid w:val="00352ED3"/>
    <w:rsid w:val="004B0AE6"/>
    <w:rsid w:val="005E3038"/>
    <w:rsid w:val="006A58F0"/>
    <w:rsid w:val="007448CA"/>
    <w:rsid w:val="007726F7"/>
    <w:rsid w:val="00782DA7"/>
    <w:rsid w:val="007B0239"/>
    <w:rsid w:val="00842AE1"/>
    <w:rsid w:val="00870DC2"/>
    <w:rsid w:val="00902F82"/>
    <w:rsid w:val="009D1846"/>
    <w:rsid w:val="00BA324D"/>
    <w:rsid w:val="00C21EDF"/>
    <w:rsid w:val="00C22450"/>
    <w:rsid w:val="00C35040"/>
    <w:rsid w:val="00D94E7A"/>
    <w:rsid w:val="00F9012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8604E0D-2D47-4DAF-8F08-013DC3547F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gt-baf-back">
    <w:name w:val="gt-baf-back"/>
    <w:basedOn w:val="Policepardfaut"/>
    <w:rsid w:val="00F901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209</TotalTime>
  <Pages>1</Pages>
  <Words>330</Words>
  <Characters>1815</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START</dc:creator>
  <cp:keywords/>
  <dc:description/>
  <cp:lastModifiedBy>naima</cp:lastModifiedBy>
  <cp:revision>12</cp:revision>
  <dcterms:created xsi:type="dcterms:W3CDTF">2017-11-25T09:59:00Z</dcterms:created>
  <dcterms:modified xsi:type="dcterms:W3CDTF">2018-06-25T13:29:00Z</dcterms:modified>
</cp:coreProperties>
</file>