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4B58" w:rsidRDefault="001C4B58" w:rsidP="009453A3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1C4B58" w:rsidRDefault="001C4B58" w:rsidP="009453A3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1C4B58" w:rsidRDefault="001C4B58" w:rsidP="009453A3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1C4B58" w:rsidRDefault="001C4B58" w:rsidP="009453A3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1C4B58" w:rsidRDefault="001C4B58" w:rsidP="009453A3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1C4B58" w:rsidRDefault="001C4B58" w:rsidP="009453A3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9453A3" w:rsidRDefault="009453A3" w:rsidP="009453A3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AB615A">
        <w:rPr>
          <w:rFonts w:asciiTheme="majorBidi" w:hAnsiTheme="majorBidi" w:cstheme="majorBidi"/>
          <w:sz w:val="24"/>
          <w:szCs w:val="24"/>
        </w:rPr>
        <w:t>Le travail présenté dans  ce mémoire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BF5E17">
        <w:rPr>
          <w:rFonts w:asciiTheme="majorBidi" w:hAnsiTheme="majorBidi" w:cstheme="majorBidi"/>
          <w:sz w:val="24"/>
          <w:szCs w:val="24"/>
        </w:rPr>
        <w:t xml:space="preserve">a </w:t>
      </w:r>
      <w:r>
        <w:rPr>
          <w:rFonts w:asciiTheme="majorBidi" w:hAnsiTheme="majorBidi" w:cstheme="majorBidi"/>
          <w:sz w:val="24"/>
          <w:szCs w:val="24"/>
        </w:rPr>
        <w:t xml:space="preserve">consisté en la synthèse, la caractérisation </w:t>
      </w:r>
      <w:r w:rsidRPr="00393D51">
        <w:rPr>
          <w:rFonts w:ascii="Times New Roman" w:eastAsia="Times New Roman" w:hAnsi="Times New Roman" w:cs="Times New Roman"/>
          <w:sz w:val="24"/>
          <w:szCs w:val="24"/>
        </w:rPr>
        <w:t xml:space="preserve">à l’état solide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et l’étude de l’effet de la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complexation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par le ligand </w:t>
      </w:r>
      <w:proofErr w:type="spellStart"/>
      <w:r w:rsidRPr="000A2BED">
        <w:rPr>
          <w:rFonts w:asciiTheme="majorBidi" w:hAnsiTheme="majorBidi" w:cstheme="majorBidi"/>
          <w:sz w:val="24"/>
          <w:szCs w:val="24"/>
        </w:rPr>
        <w:t>répaglinide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sur la stabilité des complexes  de manganèse(II)</w:t>
      </w:r>
      <w:r w:rsidRPr="000A2BED">
        <w:rPr>
          <w:rFonts w:asciiTheme="majorBidi" w:hAnsiTheme="majorBidi" w:cstheme="majorBidi"/>
          <w:sz w:val="24"/>
          <w:szCs w:val="24"/>
        </w:rPr>
        <w:t xml:space="preserve">, </w:t>
      </w:r>
      <w:r>
        <w:rPr>
          <w:rFonts w:asciiTheme="majorBidi" w:hAnsiTheme="majorBidi" w:cstheme="majorBidi"/>
          <w:sz w:val="24"/>
          <w:szCs w:val="24"/>
        </w:rPr>
        <w:t>Fer(I</w:t>
      </w:r>
      <w:r w:rsidRPr="000A2BED">
        <w:rPr>
          <w:rFonts w:asciiTheme="majorBidi" w:hAnsiTheme="majorBidi" w:cstheme="majorBidi"/>
          <w:sz w:val="24"/>
          <w:szCs w:val="24"/>
        </w:rPr>
        <w:t>I)</w:t>
      </w:r>
      <w:r>
        <w:rPr>
          <w:rFonts w:asciiTheme="majorBidi" w:hAnsiTheme="majorBidi" w:cstheme="majorBidi"/>
          <w:sz w:val="24"/>
          <w:szCs w:val="24"/>
        </w:rPr>
        <w:t xml:space="preserve">, </w:t>
      </w:r>
      <w:r w:rsidRPr="000A2BED">
        <w:rPr>
          <w:rFonts w:asciiTheme="majorBidi" w:hAnsiTheme="majorBidi" w:cstheme="majorBidi"/>
          <w:sz w:val="24"/>
          <w:szCs w:val="24"/>
        </w:rPr>
        <w:t>Fer(III), cobalt(II), nickel(II), cuivre</w:t>
      </w:r>
      <w:r>
        <w:rPr>
          <w:rFonts w:asciiTheme="majorBidi" w:hAnsiTheme="majorBidi" w:cstheme="majorBidi"/>
          <w:sz w:val="24"/>
          <w:szCs w:val="24"/>
        </w:rPr>
        <w:t>(II) et zinc</w:t>
      </w:r>
      <w:r w:rsidRPr="000A2BED">
        <w:rPr>
          <w:rFonts w:asciiTheme="majorBidi" w:hAnsiTheme="majorBidi" w:cstheme="majorBidi"/>
          <w:sz w:val="24"/>
          <w:szCs w:val="24"/>
        </w:rPr>
        <w:t>(II</w:t>
      </w:r>
      <w:r>
        <w:rPr>
          <w:rFonts w:asciiTheme="majorBidi" w:hAnsiTheme="majorBidi" w:cstheme="majorBidi"/>
          <w:sz w:val="24"/>
          <w:szCs w:val="24"/>
        </w:rPr>
        <w:t xml:space="preserve">). </w:t>
      </w:r>
      <w:r w:rsidRPr="00C01139">
        <w:rPr>
          <w:rFonts w:ascii="Times New Roman" w:hAnsi="Times New Roman" w:cs="Times New Roman"/>
          <w:bCs/>
          <w:sz w:val="24"/>
          <w:szCs w:val="24"/>
        </w:rPr>
        <w:t xml:space="preserve">L’étude en solution des complexes </w:t>
      </w:r>
      <w:r>
        <w:rPr>
          <w:rFonts w:ascii="Times New Roman" w:hAnsi="Times New Roman" w:cs="Times New Roman"/>
          <w:bCs/>
          <w:sz w:val="24"/>
          <w:szCs w:val="24"/>
        </w:rPr>
        <w:t xml:space="preserve">synthétisés </w:t>
      </w:r>
      <w:r w:rsidRPr="00C01139">
        <w:rPr>
          <w:rFonts w:ascii="Times New Roman" w:hAnsi="Times New Roman" w:cs="Times New Roman"/>
          <w:bCs/>
          <w:sz w:val="24"/>
          <w:szCs w:val="24"/>
        </w:rPr>
        <w:t>a été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C01139">
        <w:rPr>
          <w:rFonts w:ascii="Times New Roman" w:hAnsi="Times New Roman" w:cs="Times New Roman"/>
          <w:bCs/>
          <w:sz w:val="24"/>
          <w:szCs w:val="24"/>
        </w:rPr>
        <w:t xml:space="preserve">effectuée par </w:t>
      </w:r>
      <w:proofErr w:type="spellStart"/>
      <w:r w:rsidRPr="00C01139">
        <w:rPr>
          <w:rFonts w:ascii="Times New Roman" w:hAnsi="Times New Roman" w:cs="Times New Roman"/>
          <w:bCs/>
          <w:sz w:val="24"/>
          <w:szCs w:val="24"/>
        </w:rPr>
        <w:t>potentiométrie</w:t>
      </w:r>
      <w:proofErr w:type="spellEnd"/>
      <w:r w:rsidRPr="00C01139">
        <w:rPr>
          <w:rFonts w:ascii="Times New Roman" w:hAnsi="Times New Roman" w:cs="Times New Roman"/>
          <w:bCs/>
          <w:sz w:val="24"/>
          <w:szCs w:val="24"/>
        </w:rPr>
        <w:t xml:space="preserve"> à température et force ionique constantes, le calcul des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C01139">
        <w:rPr>
          <w:rFonts w:ascii="Times New Roman" w:hAnsi="Times New Roman" w:cs="Times New Roman"/>
          <w:bCs/>
          <w:sz w:val="24"/>
          <w:szCs w:val="24"/>
        </w:rPr>
        <w:t>constantes</w:t>
      </w:r>
      <w:r>
        <w:rPr>
          <w:rFonts w:ascii="Times New Roman" w:hAnsi="Times New Roman" w:cs="Times New Roman"/>
          <w:bCs/>
          <w:sz w:val="24"/>
          <w:szCs w:val="24"/>
        </w:rPr>
        <w:t xml:space="preserve"> de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protonation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du</w:t>
      </w:r>
      <w:r w:rsidRPr="00C01139">
        <w:rPr>
          <w:rFonts w:ascii="Times New Roman" w:hAnsi="Times New Roman" w:cs="Times New Roman"/>
          <w:bCs/>
          <w:sz w:val="24"/>
          <w:szCs w:val="24"/>
        </w:rPr>
        <w:t xml:space="preserve"> ligand </w:t>
      </w:r>
      <w:proofErr w:type="spellStart"/>
      <w:r>
        <w:rPr>
          <w:rFonts w:asciiTheme="majorBidi" w:hAnsiTheme="majorBidi" w:cstheme="majorBidi"/>
          <w:sz w:val="24"/>
          <w:szCs w:val="24"/>
        </w:rPr>
        <w:t>r</w:t>
      </w:r>
      <w:r w:rsidRPr="00AB615A">
        <w:rPr>
          <w:rFonts w:asciiTheme="majorBidi" w:hAnsiTheme="majorBidi" w:cstheme="majorBidi"/>
          <w:sz w:val="24"/>
          <w:szCs w:val="24"/>
        </w:rPr>
        <w:t>é</w:t>
      </w:r>
      <w:r>
        <w:rPr>
          <w:rFonts w:asciiTheme="majorBidi" w:hAnsiTheme="majorBidi" w:cstheme="majorBidi"/>
          <w:sz w:val="24"/>
          <w:szCs w:val="24"/>
        </w:rPr>
        <w:t>paglinide</w:t>
      </w:r>
      <w:proofErr w:type="spellEnd"/>
      <w:r w:rsidRPr="00C01139">
        <w:rPr>
          <w:rFonts w:ascii="Times New Roman" w:hAnsi="Times New Roman" w:cs="Times New Roman"/>
          <w:bCs/>
          <w:sz w:val="24"/>
          <w:szCs w:val="24"/>
        </w:rPr>
        <w:t xml:space="preserve"> et des constantes de formati</w:t>
      </w:r>
      <w:r>
        <w:rPr>
          <w:rFonts w:ascii="Times New Roman" w:hAnsi="Times New Roman" w:cs="Times New Roman"/>
          <w:bCs/>
          <w:sz w:val="24"/>
          <w:szCs w:val="24"/>
        </w:rPr>
        <w:t xml:space="preserve">on des complexes a été réalisé </w:t>
      </w:r>
      <w:r w:rsidRPr="00C01139">
        <w:rPr>
          <w:rFonts w:ascii="Times New Roman" w:hAnsi="Times New Roman" w:cs="Times New Roman"/>
          <w:bCs/>
          <w:sz w:val="24"/>
          <w:szCs w:val="24"/>
        </w:rPr>
        <w:t xml:space="preserve">par le </w:t>
      </w:r>
      <w:r w:rsidRPr="00C01139">
        <w:rPr>
          <w:rFonts w:asciiTheme="majorBidi" w:hAnsiTheme="majorBidi" w:cstheme="majorBidi"/>
          <w:bCs/>
          <w:color w:val="000000"/>
          <w:sz w:val="24"/>
          <w:szCs w:val="24"/>
        </w:rPr>
        <w:t xml:space="preserve">programme informatique </w:t>
      </w:r>
      <w:proofErr w:type="spellStart"/>
      <w:r w:rsidRPr="00C01139">
        <w:rPr>
          <w:rFonts w:asciiTheme="majorBidi" w:hAnsiTheme="majorBidi" w:cstheme="majorBidi"/>
          <w:bCs/>
          <w:color w:val="000000"/>
          <w:sz w:val="24"/>
          <w:szCs w:val="24"/>
        </w:rPr>
        <w:t>Sirko</w:t>
      </w:r>
      <w:proofErr w:type="spellEnd"/>
      <w:r>
        <w:rPr>
          <w:rFonts w:asciiTheme="majorBidi" w:hAnsiTheme="majorBidi" w:cstheme="majorBidi"/>
          <w:bCs/>
          <w:color w:val="000000"/>
          <w:sz w:val="24"/>
          <w:szCs w:val="24"/>
        </w:rPr>
        <w:t>.</w:t>
      </w:r>
    </w:p>
    <w:p w:rsidR="009453A3" w:rsidRDefault="009453A3" w:rsidP="009453A3">
      <w:pPr>
        <w:tabs>
          <w:tab w:val="left" w:pos="1100"/>
          <w:tab w:val="right" w:pos="9072"/>
        </w:tabs>
        <w:spacing w:after="0" w:line="360" w:lineRule="auto"/>
        <w:jc w:val="both"/>
        <w:rPr>
          <w:rFonts w:asciiTheme="majorBidi" w:hAnsiTheme="majorBidi" w:cstheme="majorBidi"/>
          <w:bCs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Les complexes </w:t>
      </w:r>
      <w:r w:rsidRPr="00AB615A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de coordination</w:t>
      </w:r>
      <w:r w:rsidRPr="007F0C8A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>synthétisés sont caractérisés par l</w:t>
      </w:r>
      <w:r w:rsidRPr="00C01139">
        <w:rPr>
          <w:rFonts w:ascii="Times New Roman" w:hAnsi="Times New Roman" w:cs="Times New Roman"/>
          <w:bCs/>
          <w:sz w:val="24"/>
          <w:szCs w:val="24"/>
        </w:rPr>
        <w:t>’</w:t>
      </w:r>
      <w:r>
        <w:rPr>
          <w:rFonts w:asciiTheme="majorBidi" w:hAnsiTheme="majorBidi" w:cstheme="majorBidi"/>
          <w:sz w:val="24"/>
          <w:szCs w:val="24"/>
        </w:rPr>
        <w:t xml:space="preserve">analyse élémentaire, la </w:t>
      </w:r>
      <w:proofErr w:type="spellStart"/>
      <w:r w:rsidRPr="00C01139">
        <w:rPr>
          <w:rFonts w:asciiTheme="majorBidi" w:hAnsiTheme="majorBidi" w:cstheme="majorBidi"/>
          <w:sz w:val="24"/>
          <w:szCs w:val="24"/>
        </w:rPr>
        <w:t>conductimétrie</w:t>
      </w:r>
      <w:proofErr w:type="spellEnd"/>
      <w:r w:rsidRPr="00C01139">
        <w:rPr>
          <w:rFonts w:asciiTheme="majorBidi" w:hAnsiTheme="majorBidi" w:cstheme="majorBidi"/>
          <w:sz w:val="24"/>
          <w:szCs w:val="24"/>
        </w:rPr>
        <w:t xml:space="preserve">, </w:t>
      </w:r>
      <w:r>
        <w:rPr>
          <w:rFonts w:ascii="Times New Roman" w:hAnsi="Times New Roman" w:cs="Times New Roman"/>
          <w:bCs/>
          <w:sz w:val="24"/>
          <w:szCs w:val="24"/>
        </w:rPr>
        <w:t>l</w:t>
      </w:r>
      <w:r w:rsidRPr="00C01139">
        <w:rPr>
          <w:rFonts w:ascii="Times New Roman" w:hAnsi="Times New Roman" w:cs="Times New Roman"/>
          <w:bCs/>
          <w:sz w:val="24"/>
          <w:szCs w:val="24"/>
        </w:rPr>
        <w:t>’</w:t>
      </w:r>
      <w:r>
        <w:rPr>
          <w:rFonts w:asciiTheme="majorBidi" w:hAnsiTheme="majorBidi" w:cstheme="majorBidi"/>
          <w:sz w:val="24"/>
          <w:szCs w:val="24"/>
        </w:rPr>
        <w:t xml:space="preserve">analyse thermique </w:t>
      </w:r>
      <w:r w:rsidRPr="00C01139">
        <w:rPr>
          <w:rFonts w:asciiTheme="majorBidi" w:hAnsiTheme="majorBidi" w:cstheme="majorBidi"/>
          <w:sz w:val="24"/>
          <w:szCs w:val="24"/>
        </w:rPr>
        <w:t>ATG</w:t>
      </w:r>
      <w:r>
        <w:rPr>
          <w:rFonts w:asciiTheme="majorBidi" w:hAnsiTheme="majorBidi" w:cstheme="majorBidi"/>
          <w:sz w:val="24"/>
          <w:szCs w:val="24"/>
        </w:rPr>
        <w:t>/ATD</w:t>
      </w:r>
      <w:r w:rsidRPr="00C01139">
        <w:rPr>
          <w:rFonts w:asciiTheme="majorBidi" w:hAnsiTheme="majorBidi" w:cstheme="majorBidi"/>
          <w:sz w:val="24"/>
          <w:szCs w:val="24"/>
        </w:rPr>
        <w:t>,</w:t>
      </w:r>
      <w:r>
        <w:rPr>
          <w:rFonts w:asciiTheme="majorBidi" w:hAnsiTheme="majorBidi" w:cstheme="majorBidi"/>
          <w:sz w:val="24"/>
          <w:szCs w:val="24"/>
        </w:rPr>
        <w:t xml:space="preserve"> les </w:t>
      </w:r>
      <w:r w:rsidRPr="00C01139">
        <w:rPr>
          <w:rFonts w:asciiTheme="majorBidi" w:hAnsiTheme="majorBidi" w:cstheme="majorBidi"/>
          <w:sz w:val="24"/>
          <w:szCs w:val="24"/>
        </w:rPr>
        <w:t>mesure</w:t>
      </w:r>
      <w:r>
        <w:rPr>
          <w:rFonts w:asciiTheme="majorBidi" w:hAnsiTheme="majorBidi" w:cstheme="majorBidi"/>
          <w:sz w:val="24"/>
          <w:szCs w:val="24"/>
        </w:rPr>
        <w:t>s</w:t>
      </w:r>
      <w:r w:rsidRPr="00C01139">
        <w:rPr>
          <w:rFonts w:asciiTheme="majorBidi" w:hAnsiTheme="majorBidi" w:cstheme="majorBidi"/>
          <w:sz w:val="24"/>
          <w:szCs w:val="24"/>
        </w:rPr>
        <w:t xml:space="preserve"> magnétique</w:t>
      </w:r>
      <w:r>
        <w:rPr>
          <w:rFonts w:asciiTheme="majorBidi" w:hAnsiTheme="majorBidi" w:cstheme="majorBidi"/>
          <w:sz w:val="24"/>
          <w:szCs w:val="24"/>
        </w:rPr>
        <w:t>s</w:t>
      </w:r>
      <w:r w:rsidRPr="00C01139">
        <w:rPr>
          <w:rFonts w:asciiTheme="majorBidi" w:hAnsiTheme="majorBidi" w:cstheme="majorBidi"/>
          <w:sz w:val="24"/>
          <w:szCs w:val="24"/>
        </w:rPr>
        <w:t>,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bCs/>
          <w:color w:val="000000"/>
          <w:sz w:val="24"/>
          <w:szCs w:val="24"/>
        </w:rPr>
        <w:t xml:space="preserve"> la </w:t>
      </w:r>
      <w:r>
        <w:rPr>
          <w:rFonts w:asciiTheme="majorBidi" w:hAnsiTheme="majorBidi" w:cstheme="majorBidi"/>
          <w:bCs/>
          <w:sz w:val="24"/>
          <w:szCs w:val="24"/>
        </w:rPr>
        <w:t>spectrométrie IR,  la RMN-</w:t>
      </w:r>
      <w:r w:rsidRPr="00FB7CAD">
        <w:rPr>
          <w:rFonts w:asciiTheme="majorBidi" w:hAnsiTheme="majorBidi" w:cstheme="majorBidi"/>
          <w:bCs/>
          <w:sz w:val="24"/>
          <w:szCs w:val="24"/>
          <w:vertAlign w:val="superscript"/>
        </w:rPr>
        <w:t>1</w:t>
      </w:r>
      <w:r>
        <w:rPr>
          <w:rFonts w:asciiTheme="majorBidi" w:hAnsiTheme="majorBidi" w:cstheme="majorBidi"/>
          <w:bCs/>
          <w:sz w:val="24"/>
          <w:szCs w:val="24"/>
        </w:rPr>
        <w:t>H et</w:t>
      </w:r>
      <w:r w:rsidRPr="00366B1C">
        <w:rPr>
          <w:rFonts w:asciiTheme="majorBidi" w:hAnsiTheme="majorBidi" w:cstheme="majorBidi"/>
          <w:bCs/>
          <w:sz w:val="24"/>
          <w:szCs w:val="24"/>
        </w:rPr>
        <w:t xml:space="preserve"> </w:t>
      </w:r>
      <w:r>
        <w:rPr>
          <w:rFonts w:asciiTheme="majorBidi" w:hAnsiTheme="majorBidi" w:cstheme="majorBidi"/>
          <w:bCs/>
          <w:sz w:val="24"/>
          <w:szCs w:val="24"/>
        </w:rPr>
        <w:t>RMN-</w:t>
      </w:r>
      <w:r w:rsidRPr="00FB7CAD">
        <w:rPr>
          <w:rFonts w:asciiTheme="majorBidi" w:hAnsiTheme="majorBidi" w:cstheme="majorBidi"/>
          <w:bCs/>
          <w:sz w:val="24"/>
          <w:szCs w:val="24"/>
          <w:vertAlign w:val="superscript"/>
        </w:rPr>
        <w:t>1</w:t>
      </w:r>
      <w:r>
        <w:rPr>
          <w:rFonts w:asciiTheme="majorBidi" w:hAnsiTheme="majorBidi" w:cstheme="majorBidi"/>
          <w:bCs/>
          <w:sz w:val="24"/>
          <w:szCs w:val="24"/>
          <w:vertAlign w:val="superscript"/>
        </w:rPr>
        <w:t>3</w:t>
      </w:r>
      <w:r>
        <w:rPr>
          <w:rFonts w:asciiTheme="majorBidi" w:hAnsiTheme="majorBidi" w:cstheme="majorBidi"/>
          <w:bCs/>
          <w:sz w:val="24"/>
          <w:szCs w:val="24"/>
        </w:rPr>
        <w:t xml:space="preserve">C pour le complexe de zinc et la </w:t>
      </w:r>
      <w:r w:rsidRPr="00C01139">
        <w:rPr>
          <w:rFonts w:asciiTheme="majorBidi" w:hAnsiTheme="majorBidi" w:cstheme="majorBidi"/>
          <w:bCs/>
          <w:sz w:val="24"/>
          <w:szCs w:val="24"/>
        </w:rPr>
        <w:t>spectrophotométrie UV-Visible</w:t>
      </w:r>
      <w:r>
        <w:rPr>
          <w:rFonts w:asciiTheme="majorBidi" w:hAnsiTheme="majorBidi" w:cstheme="majorBidi"/>
          <w:bCs/>
          <w:sz w:val="24"/>
          <w:szCs w:val="24"/>
        </w:rPr>
        <w:t xml:space="preserve">. </w:t>
      </w:r>
    </w:p>
    <w:p w:rsidR="00B21448" w:rsidRDefault="00B21448" w:rsidP="00B21448">
      <w:pPr>
        <w:pStyle w:val="Corpsdetexte2"/>
        <w:rPr>
          <w:rFonts w:asciiTheme="majorBidi" w:hAnsiTheme="majorBidi" w:cstheme="majorBidi"/>
          <w:bCs/>
        </w:rPr>
      </w:pPr>
      <w:r>
        <w:rPr>
          <w:rFonts w:asciiTheme="majorBidi" w:hAnsiTheme="majorBidi" w:cstheme="majorBidi"/>
        </w:rPr>
        <w:t>L</w:t>
      </w:r>
      <w:r w:rsidRPr="000A2BED">
        <w:rPr>
          <w:rFonts w:asciiTheme="majorBidi" w:hAnsiTheme="majorBidi" w:cstheme="majorBidi"/>
        </w:rPr>
        <w:t>’étude</w:t>
      </w:r>
      <w:r>
        <w:rPr>
          <w:rFonts w:asciiTheme="majorBidi" w:hAnsiTheme="majorBidi" w:cstheme="majorBidi"/>
        </w:rPr>
        <w:t xml:space="preserve"> théorique par les calculs </w:t>
      </w:r>
      <w:r w:rsidRPr="00DF0738">
        <w:rPr>
          <w:rFonts w:asciiTheme="majorBidi" w:hAnsiTheme="majorBidi" w:cstheme="majorBidi"/>
          <w:bCs/>
          <w:i/>
          <w:iCs/>
        </w:rPr>
        <w:t>DFT</w:t>
      </w:r>
      <w:r>
        <w:rPr>
          <w:rFonts w:asciiTheme="majorBidi" w:hAnsiTheme="majorBidi" w:cstheme="majorBidi"/>
          <w:bCs/>
          <w:i/>
          <w:iCs/>
        </w:rPr>
        <w:t xml:space="preserve"> </w:t>
      </w:r>
      <w:r w:rsidRPr="00C02D7E">
        <w:rPr>
          <w:rFonts w:asciiTheme="majorBidi" w:hAnsiTheme="majorBidi" w:cstheme="majorBidi"/>
          <w:bCs/>
        </w:rPr>
        <w:t xml:space="preserve">ont </w:t>
      </w:r>
      <w:r>
        <w:rPr>
          <w:rFonts w:asciiTheme="majorBidi" w:hAnsiTheme="majorBidi" w:cstheme="majorBidi"/>
          <w:bCs/>
        </w:rPr>
        <w:t xml:space="preserve">permis de confirmer les structures proposées pour les complexes métalliques en calculant les énergies de </w:t>
      </w:r>
      <w:proofErr w:type="spellStart"/>
      <w:r>
        <w:rPr>
          <w:rFonts w:asciiTheme="majorBidi" w:hAnsiTheme="majorBidi" w:cstheme="majorBidi"/>
          <w:bCs/>
        </w:rPr>
        <w:t>complexation</w:t>
      </w:r>
      <w:proofErr w:type="spellEnd"/>
      <w:r>
        <w:rPr>
          <w:rFonts w:asciiTheme="majorBidi" w:hAnsiTheme="majorBidi" w:cstheme="majorBidi"/>
          <w:bCs/>
        </w:rPr>
        <w:t>. Le complexe le plus stable est le Fe(III)-L.</w:t>
      </w:r>
      <w:r w:rsidRPr="00B21448">
        <w:rPr>
          <w:rFonts w:asciiTheme="majorBidi" w:hAnsiTheme="majorBidi" w:cstheme="majorBidi"/>
        </w:rPr>
        <w:t xml:space="preserve"> </w:t>
      </w:r>
      <w:r w:rsidRPr="004553D3">
        <w:rPr>
          <w:rFonts w:asciiTheme="majorBidi" w:hAnsiTheme="majorBidi" w:cstheme="majorBidi"/>
        </w:rPr>
        <w:t xml:space="preserve">La </w:t>
      </w:r>
      <w:proofErr w:type="spellStart"/>
      <w:r w:rsidRPr="004553D3">
        <w:rPr>
          <w:rFonts w:asciiTheme="majorBidi" w:hAnsiTheme="majorBidi" w:cstheme="majorBidi"/>
        </w:rPr>
        <w:t>voltamétrie</w:t>
      </w:r>
      <w:proofErr w:type="spellEnd"/>
      <w:r>
        <w:rPr>
          <w:rFonts w:asciiTheme="majorBidi" w:hAnsiTheme="majorBidi" w:cstheme="majorBidi"/>
        </w:rPr>
        <w:t xml:space="preserve"> cyclique a permis d’élucider des</w:t>
      </w:r>
      <w:r w:rsidRPr="004553D3">
        <w:rPr>
          <w:rFonts w:asciiTheme="majorBidi" w:hAnsiTheme="majorBidi" w:cstheme="majorBidi"/>
        </w:rPr>
        <w:t xml:space="preserve"> p</w:t>
      </w:r>
      <w:r>
        <w:rPr>
          <w:rFonts w:asciiTheme="majorBidi" w:hAnsiTheme="majorBidi" w:cstheme="majorBidi"/>
        </w:rPr>
        <w:t>rocessus d’</w:t>
      </w:r>
      <w:proofErr w:type="spellStart"/>
      <w:r>
        <w:rPr>
          <w:rFonts w:asciiTheme="majorBidi" w:hAnsiTheme="majorBidi" w:cstheme="majorBidi"/>
        </w:rPr>
        <w:t>oxydo-réduction</w:t>
      </w:r>
      <w:proofErr w:type="spellEnd"/>
      <w:r>
        <w:rPr>
          <w:rFonts w:asciiTheme="majorBidi" w:hAnsiTheme="majorBidi" w:cstheme="majorBidi"/>
        </w:rPr>
        <w:t xml:space="preserve"> </w:t>
      </w:r>
      <w:r w:rsidRPr="004553D3">
        <w:rPr>
          <w:rFonts w:asciiTheme="majorBidi" w:hAnsiTheme="majorBidi" w:cstheme="majorBidi"/>
        </w:rPr>
        <w:t xml:space="preserve"> irréversible</w:t>
      </w:r>
      <w:r>
        <w:rPr>
          <w:rFonts w:asciiTheme="majorBidi" w:hAnsiTheme="majorBidi" w:cstheme="majorBidi"/>
        </w:rPr>
        <w:t>s</w:t>
      </w:r>
      <w:r w:rsidRPr="004553D3">
        <w:rPr>
          <w:rFonts w:asciiTheme="majorBidi" w:hAnsiTheme="majorBidi" w:cstheme="majorBidi"/>
        </w:rPr>
        <w:t xml:space="preserve"> pour </w:t>
      </w:r>
      <w:r>
        <w:rPr>
          <w:rFonts w:asciiTheme="majorBidi" w:hAnsiTheme="majorBidi" w:cstheme="majorBidi"/>
        </w:rPr>
        <w:t>le ligand et les complexes</w:t>
      </w:r>
      <w:r w:rsidRPr="004553D3">
        <w:rPr>
          <w:rFonts w:asciiTheme="majorBidi" w:hAnsiTheme="majorBidi" w:cstheme="majorBidi"/>
        </w:rPr>
        <w:t xml:space="preserve"> avec un échange </w:t>
      </w:r>
      <w:proofErr w:type="spellStart"/>
      <w:r w:rsidRPr="004553D3">
        <w:rPr>
          <w:rFonts w:asciiTheme="majorBidi" w:hAnsiTheme="majorBidi" w:cstheme="majorBidi"/>
        </w:rPr>
        <w:t>monoélectronique</w:t>
      </w:r>
      <w:proofErr w:type="spellEnd"/>
      <w:r>
        <w:rPr>
          <w:rFonts w:asciiTheme="majorBidi" w:hAnsiTheme="majorBidi" w:cstheme="majorBidi"/>
        </w:rPr>
        <w:t>.</w:t>
      </w:r>
    </w:p>
    <w:p w:rsidR="009453A3" w:rsidRDefault="009453A3" w:rsidP="004E1FBB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9453A3" w:rsidRDefault="009453A3" w:rsidP="004E1FBB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9453A3" w:rsidRDefault="009453A3" w:rsidP="004E1FBB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9453A3" w:rsidRDefault="009453A3" w:rsidP="004E1FBB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202C22" w:rsidRDefault="00202C22"/>
    <w:sectPr w:rsidR="00202C22" w:rsidSect="00AC74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A3383C"/>
    <w:rsid w:val="00041B9E"/>
    <w:rsid w:val="001C4B58"/>
    <w:rsid w:val="00202C22"/>
    <w:rsid w:val="002220FC"/>
    <w:rsid w:val="00245CAC"/>
    <w:rsid w:val="00471A4E"/>
    <w:rsid w:val="00487A2C"/>
    <w:rsid w:val="004E1FBB"/>
    <w:rsid w:val="0065292D"/>
    <w:rsid w:val="00942F10"/>
    <w:rsid w:val="009453A3"/>
    <w:rsid w:val="00961A2F"/>
    <w:rsid w:val="00A3383C"/>
    <w:rsid w:val="00AC7440"/>
    <w:rsid w:val="00B21448"/>
    <w:rsid w:val="00BA2290"/>
    <w:rsid w:val="00C1187C"/>
    <w:rsid w:val="00C17249"/>
    <w:rsid w:val="00D82831"/>
    <w:rsid w:val="00E62F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C744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2">
    <w:name w:val="Body Text 2"/>
    <w:basedOn w:val="Normal"/>
    <w:link w:val="Corpsdetexte2Car"/>
    <w:uiPriority w:val="99"/>
    <w:unhideWhenUsed/>
    <w:rsid w:val="00B21448"/>
    <w:pPr>
      <w:spacing w:line="360" w:lineRule="auto"/>
      <w:contextualSpacing/>
      <w:jc w:val="both"/>
    </w:pPr>
    <w:rPr>
      <w:rFonts w:ascii="Times New Roman" w:eastAsiaTheme="minorHAnsi" w:hAnsi="Times New Roman" w:cs="Times New Roman"/>
      <w:sz w:val="24"/>
      <w:szCs w:val="24"/>
      <w:lang w:eastAsia="en-US"/>
    </w:rPr>
  </w:style>
  <w:style w:type="character" w:customStyle="1" w:styleId="Corpsdetexte2Car">
    <w:name w:val="Corps de texte 2 Car"/>
    <w:basedOn w:val="Policepardfaut"/>
    <w:link w:val="Corpsdetexte2"/>
    <w:uiPriority w:val="99"/>
    <w:rsid w:val="00B21448"/>
    <w:rPr>
      <w:rFonts w:ascii="Times New Roman" w:eastAsiaTheme="minorHAnsi" w:hAnsi="Times New Roman" w:cs="Times New Roman"/>
      <w:sz w:val="24"/>
      <w:szCs w:val="24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C9AFD1F-05CC-482B-AD2E-BC90390414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180</Words>
  <Characters>1028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traitement</cp:lastModifiedBy>
  <cp:revision>3</cp:revision>
  <dcterms:created xsi:type="dcterms:W3CDTF">2017-01-05T17:48:00Z</dcterms:created>
  <dcterms:modified xsi:type="dcterms:W3CDTF">2017-05-17T12:09:00Z</dcterms:modified>
</cp:coreProperties>
</file>