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024" w:rsidRDefault="00CC1024" w:rsidP="00CC1024">
      <w:pPr>
        <w:rPr>
          <w:lang w:bidi="ar-DZ"/>
        </w:rPr>
      </w:pPr>
      <w:r>
        <w:rPr>
          <w:lang w:bidi="ar-DZ"/>
        </w:rPr>
        <w:t>La contribution à l'étude de pagellus erythrinus dans la région de Jijel est basée sur des données et observations récoltées lors des prospections effectuées par le navire océanographique "Thalassa" ; des  statistiques recueillis au prés de la direction de la pêche et des ressources halieutiques ainsi que celles échantillonnées au niveau de la poissonnerie de Jijel, plusieurs aspects de l'espèce sont traités, on citera l'écologie, le régime alimentaire, la reproduction, la croissance et l'exploitation</w:t>
      </w:r>
      <w:r>
        <w:rPr>
          <w:rFonts w:cs="Arial"/>
          <w:rtl/>
          <w:lang w:bidi="ar-DZ"/>
        </w:rPr>
        <w:t>.</w:t>
      </w:r>
    </w:p>
    <w:p w:rsidR="00CC1024" w:rsidRDefault="00CC1024" w:rsidP="00CC1024">
      <w:pPr>
        <w:rPr>
          <w:lang w:bidi="ar-DZ"/>
        </w:rPr>
      </w:pPr>
      <w:r>
        <w:rPr>
          <w:lang w:bidi="ar-DZ"/>
        </w:rPr>
        <w:t xml:space="preserve">En Algérie, l'espèce est présente tout le long du littoral notamment à l'Est, le caractère côtier ressort dans nos résultats puisqu'elle n'a pas été capturée au delà des </w:t>
      </w:r>
      <w:r>
        <w:rPr>
          <w:rFonts w:cs="Arial"/>
          <w:rtl/>
          <w:lang w:bidi="ar-DZ"/>
        </w:rPr>
        <w:t xml:space="preserve">170 </w:t>
      </w:r>
      <w:r>
        <w:rPr>
          <w:lang w:bidi="ar-DZ"/>
        </w:rPr>
        <w:t>m de profondeur. Ce poisson est pêché dans des stations présentant tous les types de fond, cependant notre espèce est surtout pêchée sur des fonds à sable coquillier, à vase compacte et à vase liquide. Pour ce qui est de la faune associée, elle apparaît très diversifiée mais essentiellement ichtyologique</w:t>
      </w:r>
      <w:r>
        <w:rPr>
          <w:rFonts w:cs="Arial"/>
          <w:rtl/>
          <w:lang w:bidi="ar-DZ"/>
        </w:rPr>
        <w:t>.</w:t>
      </w:r>
    </w:p>
    <w:p w:rsidR="00CC1024" w:rsidRDefault="00CC1024" w:rsidP="00CC1024">
      <w:pPr>
        <w:rPr>
          <w:lang w:bidi="ar-DZ"/>
        </w:rPr>
      </w:pPr>
      <w:r>
        <w:rPr>
          <w:lang w:bidi="ar-DZ"/>
        </w:rPr>
        <w:t>L'analyse qualitative et quantitative du régime alimentaire de P. erythrinus a pour principal but de mettre en évidence le lien qui existe entre l'alimentation et la condition même du poisson. La composition du régime alimentaire est relativement riche, la majorité des proies ingérées sont des crustacés et polychètes</w:t>
      </w:r>
      <w:r>
        <w:rPr>
          <w:rFonts w:cs="Arial"/>
          <w:rtl/>
          <w:lang w:bidi="ar-DZ"/>
        </w:rPr>
        <w:t>.</w:t>
      </w:r>
    </w:p>
    <w:p w:rsidR="00CC1024" w:rsidRDefault="00CC1024" w:rsidP="00CC1024">
      <w:pPr>
        <w:rPr>
          <w:lang w:bidi="ar-DZ"/>
        </w:rPr>
      </w:pPr>
      <w:r>
        <w:rPr>
          <w:lang w:bidi="ar-DZ"/>
        </w:rPr>
        <w:t xml:space="preserve">La fécondité absolue et relative, leurs variations en fonction de certains paramètres et la capacité de reproduction sont également étudiées. P. erythrinus est une espèce hermaphrodite protogyne, elle présente une période de ponte d'Avril à Juillet avec possibilité d'une deuxième ponte en mois de Novembre. La première maturité sexuelle des femelles s'installe à partir d'une taille de </w:t>
      </w:r>
      <w:r>
        <w:rPr>
          <w:rFonts w:cs="Arial"/>
          <w:rtl/>
          <w:lang w:bidi="ar-DZ"/>
        </w:rPr>
        <w:t xml:space="preserve">16.4 </w:t>
      </w:r>
      <w:r>
        <w:rPr>
          <w:lang w:bidi="ar-DZ"/>
        </w:rPr>
        <w:t xml:space="preserve">cm. La fécondité absolue moyenne est de </w:t>
      </w:r>
      <w:r>
        <w:rPr>
          <w:rFonts w:cs="Arial"/>
          <w:rtl/>
          <w:lang w:bidi="ar-DZ"/>
        </w:rPr>
        <w:t xml:space="preserve">65846 </w:t>
      </w:r>
      <w:r>
        <w:rPr>
          <w:lang w:bidi="ar-DZ"/>
        </w:rPr>
        <w:t xml:space="preserve">± </w:t>
      </w:r>
      <w:r>
        <w:rPr>
          <w:rFonts w:cs="Arial"/>
          <w:rtl/>
          <w:lang w:bidi="ar-DZ"/>
        </w:rPr>
        <w:t xml:space="preserve">11919 </w:t>
      </w:r>
      <w:r>
        <w:rPr>
          <w:lang w:bidi="ar-DZ"/>
        </w:rPr>
        <w:t>œufs</w:t>
      </w:r>
      <w:r>
        <w:rPr>
          <w:rFonts w:cs="Arial"/>
          <w:rtl/>
          <w:lang w:bidi="ar-DZ"/>
        </w:rPr>
        <w:t>.</w:t>
      </w:r>
    </w:p>
    <w:p w:rsidR="00CC1024" w:rsidRDefault="00CC1024" w:rsidP="00CC1024">
      <w:pPr>
        <w:rPr>
          <w:lang w:bidi="ar-DZ"/>
        </w:rPr>
      </w:pPr>
      <w:r>
        <w:rPr>
          <w:lang w:bidi="ar-DZ"/>
        </w:rPr>
        <w:t>Les paramètres de croissance du modèle de Von Bertalanffy, de chaque sexe sont déterminés par la méthode indirecte d'analyse des structures de taille. L'estimation de certains paramètres d'exploitation ainsi que l'utilisation des certains logiciels récents permettent une approche analytique de l'exploitation par le modèle de l'analyse de population virtuelle (VPA) , du rendement par recrue (Y/R) et de la biomasse par recrue (B/R). Les résultats mettent en évidence une surexploitation de cette espèce dans la région de Jijel</w:t>
      </w:r>
      <w:r>
        <w:rPr>
          <w:rFonts w:cs="Arial"/>
          <w:rtl/>
          <w:lang w:bidi="ar-DZ"/>
        </w:rPr>
        <w:t>.</w:t>
      </w:r>
    </w:p>
    <w:p w:rsidR="00D11EA5" w:rsidRPr="004B664E" w:rsidRDefault="00D11EA5" w:rsidP="004B664E">
      <w:pPr>
        <w:rPr>
          <w:rFonts w:hint="cs"/>
          <w:rtl/>
          <w:lang w:bidi="ar-DZ"/>
        </w:rPr>
      </w:pPr>
    </w:p>
    <w:sectPr w:rsidR="00D11EA5" w:rsidRPr="004B664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21979"/>
    <w:rsid w:val="002C7C15"/>
    <w:rsid w:val="00382D0A"/>
    <w:rsid w:val="004B664E"/>
    <w:rsid w:val="006D5754"/>
    <w:rsid w:val="00861E40"/>
    <w:rsid w:val="009010D8"/>
    <w:rsid w:val="00941B8F"/>
    <w:rsid w:val="00CC1024"/>
    <w:rsid w:val="00D11EA5"/>
    <w:rsid w:val="00E1791B"/>
    <w:rsid w:val="00F2197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1EA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342</Words>
  <Characters>1950</Characters>
  <Application>Microsoft Office Word</Application>
  <DocSecurity>0</DocSecurity>
  <Lines>16</Lines>
  <Paragraphs>4</Paragraphs>
  <ScaleCrop>false</ScaleCrop>
  <Company/>
  <LinksUpToDate>false</LinksUpToDate>
  <CharactersWithSpaces>2288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10</cp:revision>
  <dcterms:created xsi:type="dcterms:W3CDTF">2015-05-05T07:45:00Z</dcterms:created>
  <dcterms:modified xsi:type="dcterms:W3CDTF">2015-05-05T08:07:00Z</dcterms:modified>
</cp:coreProperties>
</file>