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3E0" w:rsidRPr="002F457D" w:rsidRDefault="00701BC8" w:rsidP="002F457D">
      <w:pPr>
        <w:pStyle w:val="Titre3"/>
        <w:jc w:val="center"/>
        <w:rPr>
          <w:rFonts w:asciiTheme="majorBidi" w:hAnsiTheme="majorBidi"/>
          <w:sz w:val="28"/>
          <w:szCs w:val="28"/>
          <w:rtl/>
        </w:rPr>
      </w:pPr>
      <w:r w:rsidRPr="002F457D">
        <w:rPr>
          <w:rFonts w:asciiTheme="majorBidi" w:hAnsiTheme="majorBidi" w:hint="cs"/>
          <w:sz w:val="28"/>
          <w:szCs w:val="28"/>
          <w:rtl/>
        </w:rPr>
        <w:t xml:space="preserve">دراسة إزالة أصباغ </w:t>
      </w:r>
      <w:r w:rsidR="0001200D" w:rsidRPr="002F457D">
        <w:rPr>
          <w:rFonts w:asciiTheme="majorBidi" w:hAnsiTheme="majorBidi" w:hint="cs"/>
          <w:sz w:val="28"/>
          <w:szCs w:val="28"/>
          <w:rtl/>
        </w:rPr>
        <w:t>ذائبة</w:t>
      </w:r>
      <w:r w:rsidRPr="002F457D">
        <w:rPr>
          <w:rFonts w:asciiTheme="majorBidi" w:hAnsiTheme="majorBidi" w:hint="cs"/>
          <w:sz w:val="28"/>
          <w:szCs w:val="28"/>
          <w:rtl/>
        </w:rPr>
        <w:t xml:space="preserve"> في محلول مائي بالإمتزاز</w:t>
      </w:r>
      <w:r w:rsidR="000709C0" w:rsidRPr="002F457D">
        <w:rPr>
          <w:rFonts w:asciiTheme="majorBidi" w:hAnsiTheme="majorBidi" w:hint="cs"/>
          <w:sz w:val="28"/>
          <w:szCs w:val="28"/>
          <w:rtl/>
        </w:rPr>
        <w:t xml:space="preserve"> الحيوي</w:t>
      </w:r>
      <w:r w:rsidRPr="002F457D">
        <w:rPr>
          <w:rFonts w:asciiTheme="majorBidi" w:hAnsiTheme="majorBidi" w:hint="cs"/>
          <w:sz w:val="28"/>
          <w:szCs w:val="28"/>
          <w:rtl/>
        </w:rPr>
        <w:t xml:space="preserve"> على أوراق الم</w:t>
      </w:r>
      <w:r w:rsidR="000709C0" w:rsidRPr="002F457D">
        <w:rPr>
          <w:rFonts w:asciiTheme="majorBidi" w:hAnsiTheme="majorBidi" w:hint="cs"/>
          <w:sz w:val="28"/>
          <w:szCs w:val="28"/>
          <w:rtl/>
        </w:rPr>
        <w:t>ُ</w:t>
      </w:r>
      <w:r w:rsidRPr="002F457D">
        <w:rPr>
          <w:rFonts w:asciiTheme="majorBidi" w:hAnsiTheme="majorBidi" w:hint="cs"/>
          <w:sz w:val="28"/>
          <w:szCs w:val="28"/>
          <w:rtl/>
        </w:rPr>
        <w:t>ص</w:t>
      </w:r>
      <w:r w:rsidR="000709C0" w:rsidRPr="002F457D">
        <w:rPr>
          <w:rFonts w:asciiTheme="majorBidi" w:hAnsiTheme="majorBidi" w:hint="cs"/>
          <w:sz w:val="28"/>
          <w:szCs w:val="28"/>
          <w:rtl/>
        </w:rPr>
        <w:t>ْ</w:t>
      </w:r>
      <w:r w:rsidRPr="002F457D">
        <w:rPr>
          <w:rFonts w:asciiTheme="majorBidi" w:hAnsiTheme="majorBidi" w:hint="cs"/>
          <w:sz w:val="28"/>
          <w:szCs w:val="28"/>
          <w:rtl/>
        </w:rPr>
        <w:t>ط</w:t>
      </w:r>
      <w:r w:rsidR="000709C0" w:rsidRPr="002F457D">
        <w:rPr>
          <w:rFonts w:asciiTheme="majorBidi" w:hAnsiTheme="majorBidi" w:hint="cs"/>
          <w:sz w:val="28"/>
          <w:szCs w:val="28"/>
          <w:rtl/>
        </w:rPr>
        <w:t>َ</w:t>
      </w:r>
      <w:r w:rsidRPr="002F457D">
        <w:rPr>
          <w:rFonts w:asciiTheme="majorBidi" w:hAnsiTheme="majorBidi" w:hint="cs"/>
          <w:sz w:val="28"/>
          <w:szCs w:val="28"/>
          <w:rtl/>
        </w:rPr>
        <w:t>ك</w:t>
      </w:r>
      <w:r w:rsidR="000709C0" w:rsidRPr="002F457D">
        <w:rPr>
          <w:rFonts w:asciiTheme="majorBidi" w:hAnsiTheme="majorBidi" w:hint="cs"/>
          <w:sz w:val="28"/>
          <w:szCs w:val="28"/>
          <w:rtl/>
        </w:rPr>
        <w:t>َ</w:t>
      </w:r>
      <w:r w:rsidRPr="002F457D">
        <w:rPr>
          <w:rFonts w:asciiTheme="majorBidi" w:hAnsiTheme="majorBidi" w:hint="cs"/>
          <w:sz w:val="28"/>
          <w:szCs w:val="28"/>
          <w:rtl/>
        </w:rPr>
        <w:t>ى</w:t>
      </w:r>
    </w:p>
    <w:p w:rsidR="00E06359" w:rsidRPr="002F457D" w:rsidRDefault="00701BC8" w:rsidP="002F457D">
      <w:pPr>
        <w:pStyle w:val="Titre3"/>
        <w:jc w:val="center"/>
        <w:rPr>
          <w:rFonts w:asciiTheme="majorBidi" w:hAnsiTheme="majorBidi"/>
          <w:sz w:val="28"/>
          <w:szCs w:val="28"/>
          <w:rtl/>
        </w:rPr>
      </w:pPr>
      <w:r w:rsidRPr="002F457D">
        <w:rPr>
          <w:rFonts w:asciiTheme="majorBidi" w:hAnsiTheme="majorBidi" w:hint="cs"/>
          <w:sz w:val="28"/>
          <w:szCs w:val="28"/>
          <w:rtl/>
        </w:rPr>
        <w:t>متبوعا بتحفيز ضوئي غير متجانس</w:t>
      </w:r>
    </w:p>
    <w:p w:rsidR="00917CBB" w:rsidRDefault="00917CBB" w:rsidP="00917CBB">
      <w:pPr>
        <w:pStyle w:val="Titre2"/>
        <w:bidi/>
        <w:rPr>
          <w:rtl/>
          <w:lang w:bidi="ar-QA"/>
        </w:rPr>
      </w:pPr>
      <w:r>
        <w:rPr>
          <w:rFonts w:hint="cs"/>
          <w:rtl/>
          <w:lang w:bidi="ar-QA"/>
        </w:rPr>
        <w:t>ملخص:</w:t>
      </w:r>
    </w:p>
    <w:p w:rsidR="00701BC8" w:rsidRDefault="00701BC8" w:rsidP="00917CBB">
      <w:pPr>
        <w:pBdr>
          <w:top w:val="single" w:sz="4" w:space="1" w:color="auto"/>
          <w:left w:val="single" w:sz="4" w:space="4" w:color="auto"/>
          <w:bottom w:val="single" w:sz="4" w:space="1" w:color="auto"/>
          <w:right w:val="single" w:sz="4" w:space="4" w:color="auto"/>
        </w:pBdr>
        <w:bidi/>
        <w:jc w:val="both"/>
        <w:rPr>
          <w:rtl/>
          <w:lang w:bidi="ar-EG"/>
        </w:rPr>
      </w:pPr>
      <w:r>
        <w:rPr>
          <w:rFonts w:hint="cs"/>
          <w:rtl/>
          <w:lang w:bidi="ar-QA"/>
        </w:rPr>
        <w:t>س</w:t>
      </w:r>
      <w:r w:rsidR="00AF3321">
        <w:rPr>
          <w:rFonts w:hint="cs"/>
          <w:rtl/>
          <w:lang w:bidi="ar-QA"/>
        </w:rPr>
        <w:t>َ</w:t>
      </w:r>
      <w:r>
        <w:rPr>
          <w:rFonts w:hint="cs"/>
          <w:rtl/>
          <w:lang w:bidi="ar-QA"/>
        </w:rPr>
        <w:t>م</w:t>
      </w:r>
      <w:r w:rsidR="00AF3321">
        <w:rPr>
          <w:rFonts w:hint="cs"/>
          <w:rtl/>
          <w:lang w:bidi="ar-QA"/>
        </w:rPr>
        <w:t>َ</w:t>
      </w:r>
      <w:r>
        <w:rPr>
          <w:rFonts w:hint="cs"/>
          <w:rtl/>
          <w:lang w:bidi="ar-QA"/>
        </w:rPr>
        <w:t>ح</w:t>
      </w:r>
      <w:r w:rsidR="00AF3321">
        <w:rPr>
          <w:rFonts w:hint="cs"/>
          <w:rtl/>
          <w:lang w:bidi="ar-QA"/>
        </w:rPr>
        <w:t>َ</w:t>
      </w:r>
      <w:r>
        <w:rPr>
          <w:rFonts w:hint="cs"/>
          <w:rtl/>
          <w:lang w:bidi="ar-QA"/>
        </w:rPr>
        <w:t>ت لنا الدراسة التي أج</w:t>
      </w:r>
      <w:r w:rsidR="00AF3321">
        <w:rPr>
          <w:rFonts w:hint="cs"/>
          <w:rtl/>
          <w:lang w:bidi="ar-QA"/>
        </w:rPr>
        <w:t>ْ</w:t>
      </w:r>
      <w:r>
        <w:rPr>
          <w:rFonts w:hint="cs"/>
          <w:rtl/>
          <w:lang w:bidi="ar-QA"/>
        </w:rPr>
        <w:t>ر</w:t>
      </w:r>
      <w:r w:rsidR="00AF3321">
        <w:rPr>
          <w:rFonts w:hint="cs"/>
          <w:rtl/>
          <w:lang w:bidi="ar-QA"/>
        </w:rPr>
        <w:t>َ</w:t>
      </w:r>
      <w:r>
        <w:rPr>
          <w:rFonts w:hint="cs"/>
          <w:rtl/>
          <w:lang w:bidi="ar-QA"/>
        </w:rPr>
        <w:t>ي</w:t>
      </w:r>
      <w:r w:rsidR="00AF3321">
        <w:rPr>
          <w:rFonts w:hint="cs"/>
          <w:rtl/>
          <w:lang w:bidi="ar-QA"/>
        </w:rPr>
        <w:t>ْ</w:t>
      </w:r>
      <w:r>
        <w:rPr>
          <w:rFonts w:hint="cs"/>
          <w:rtl/>
          <w:lang w:bidi="ar-QA"/>
        </w:rPr>
        <w:t xml:space="preserve">ناها بإثبات إمكانية استعمال </w:t>
      </w:r>
      <w:r w:rsidR="00BC1A46">
        <w:rPr>
          <w:rFonts w:hint="cs"/>
          <w:rtl/>
          <w:lang w:bidi="ar-QA"/>
        </w:rPr>
        <w:t>أوراق ش</w:t>
      </w:r>
      <w:r w:rsidR="00AF3321">
        <w:rPr>
          <w:rFonts w:hint="cs"/>
          <w:rtl/>
          <w:lang w:bidi="ar-QA"/>
        </w:rPr>
        <w:t>ُ</w:t>
      </w:r>
      <w:r w:rsidR="00BC1A46">
        <w:rPr>
          <w:rFonts w:hint="cs"/>
          <w:rtl/>
          <w:lang w:bidi="ar-QA"/>
        </w:rPr>
        <w:t>ج</w:t>
      </w:r>
      <w:r w:rsidR="00AF3321">
        <w:rPr>
          <w:rFonts w:hint="cs"/>
          <w:rtl/>
          <w:lang w:bidi="ar-QA"/>
        </w:rPr>
        <w:t>َ</w:t>
      </w:r>
      <w:r w:rsidR="00BC1A46">
        <w:rPr>
          <w:rFonts w:hint="cs"/>
          <w:rtl/>
          <w:lang w:bidi="ar-QA"/>
        </w:rPr>
        <w:t>يرة واسعة الإنتشار حول حوض البحر الأبيض المتوسط، ألا و هي الم</w:t>
      </w:r>
      <w:r w:rsidR="00A763C7">
        <w:rPr>
          <w:rFonts w:hint="cs"/>
          <w:rtl/>
          <w:lang w:bidi="ar-QA"/>
        </w:rPr>
        <w:t>ُ</w:t>
      </w:r>
      <w:r w:rsidR="00BC1A46">
        <w:rPr>
          <w:rFonts w:hint="cs"/>
          <w:rtl/>
          <w:lang w:bidi="ar-QA"/>
        </w:rPr>
        <w:t>ص</w:t>
      </w:r>
      <w:r w:rsidR="00A763C7">
        <w:rPr>
          <w:rFonts w:hint="cs"/>
          <w:rtl/>
          <w:lang w:bidi="ar-QA"/>
        </w:rPr>
        <w:t>ْ</w:t>
      </w:r>
      <w:r w:rsidR="00BC1A46">
        <w:rPr>
          <w:rFonts w:hint="cs"/>
          <w:rtl/>
          <w:lang w:bidi="ar-QA"/>
        </w:rPr>
        <w:t>ط</w:t>
      </w:r>
      <w:r w:rsidR="00A763C7">
        <w:rPr>
          <w:rFonts w:hint="cs"/>
          <w:rtl/>
          <w:lang w:bidi="ar-QA"/>
        </w:rPr>
        <w:t>َ</w:t>
      </w:r>
      <w:r w:rsidR="00BC1A46">
        <w:rPr>
          <w:rFonts w:hint="cs"/>
          <w:rtl/>
          <w:lang w:bidi="ar-QA"/>
        </w:rPr>
        <w:t>ك</w:t>
      </w:r>
      <w:r w:rsidR="00A763C7">
        <w:rPr>
          <w:rFonts w:hint="cs"/>
          <w:rtl/>
          <w:lang w:bidi="ar-QA"/>
        </w:rPr>
        <w:t>َ</w:t>
      </w:r>
      <w:r w:rsidR="00BC1A46">
        <w:rPr>
          <w:rFonts w:hint="cs"/>
          <w:rtl/>
          <w:lang w:bidi="ar-QA"/>
        </w:rPr>
        <w:t>ى (</w:t>
      </w:r>
      <w:r w:rsidR="00BC1A46">
        <w:rPr>
          <w:lang w:bidi="ar-QA"/>
        </w:rPr>
        <w:t>(</w:t>
      </w:r>
      <w:proofErr w:type="spellStart"/>
      <w:r w:rsidR="00BC1A46" w:rsidRPr="00BC1A46">
        <w:rPr>
          <w:i/>
          <w:iCs/>
          <w:lang w:bidi="ar-QA"/>
        </w:rPr>
        <w:t>Pistacia</w:t>
      </w:r>
      <w:proofErr w:type="spellEnd"/>
      <w:r w:rsidR="00BC1A46" w:rsidRPr="00BC1A46">
        <w:rPr>
          <w:i/>
          <w:iCs/>
          <w:lang w:bidi="ar-QA"/>
        </w:rPr>
        <w:t xml:space="preserve"> </w:t>
      </w:r>
      <w:proofErr w:type="spellStart"/>
      <w:r w:rsidR="00BC1A46" w:rsidRPr="00BC1A46">
        <w:rPr>
          <w:i/>
          <w:iCs/>
          <w:lang w:bidi="ar-QA"/>
        </w:rPr>
        <w:t>Lentiscus</w:t>
      </w:r>
      <w:proofErr w:type="spellEnd"/>
      <w:r w:rsidR="00BC1A46" w:rsidRPr="00BC1A46">
        <w:rPr>
          <w:i/>
          <w:iCs/>
          <w:lang w:bidi="ar-QA"/>
        </w:rPr>
        <w:t xml:space="preserve"> L</w:t>
      </w:r>
      <w:r w:rsidR="00BC1A46">
        <w:rPr>
          <w:lang w:bidi="ar-QA"/>
        </w:rPr>
        <w:t>.</w:t>
      </w:r>
      <w:r w:rsidR="00BC1A46">
        <w:rPr>
          <w:rFonts w:hint="cs"/>
          <w:rtl/>
          <w:lang w:bidi="ar-QA"/>
        </w:rPr>
        <w:t xml:space="preserve"> كمادة مازّة</w:t>
      </w:r>
      <w:r w:rsidR="00097DFC">
        <w:rPr>
          <w:rFonts w:hint="cs"/>
          <w:rtl/>
          <w:lang w:bidi="ar-QA"/>
        </w:rPr>
        <w:t xml:space="preserve"> حيوية </w:t>
      </w:r>
      <w:r w:rsidR="00BC1A46">
        <w:rPr>
          <w:rFonts w:hint="cs"/>
          <w:rtl/>
          <w:lang w:bidi="ar-QA"/>
        </w:rPr>
        <w:t>لإزالة ص</w:t>
      </w:r>
      <w:r w:rsidR="00AF3321">
        <w:rPr>
          <w:rFonts w:hint="cs"/>
          <w:rtl/>
          <w:lang w:bidi="ar-QA"/>
        </w:rPr>
        <w:t>ِ</w:t>
      </w:r>
      <w:r w:rsidR="00BC1A46">
        <w:rPr>
          <w:rFonts w:hint="cs"/>
          <w:rtl/>
          <w:lang w:bidi="ar-QA"/>
        </w:rPr>
        <w:t>ب</w:t>
      </w:r>
      <w:r w:rsidR="00AF3321">
        <w:rPr>
          <w:rFonts w:hint="cs"/>
          <w:rtl/>
          <w:lang w:bidi="ar-QA"/>
        </w:rPr>
        <w:t>ْ</w:t>
      </w:r>
      <w:r w:rsidR="00BC1A46">
        <w:rPr>
          <w:rFonts w:hint="cs"/>
          <w:rtl/>
          <w:lang w:bidi="ar-QA"/>
        </w:rPr>
        <w:t>غ</w:t>
      </w:r>
      <w:r w:rsidR="00AF3321">
        <w:rPr>
          <w:rFonts w:hint="cs"/>
          <w:rtl/>
          <w:lang w:bidi="ar-QA"/>
        </w:rPr>
        <w:t>َ</w:t>
      </w:r>
      <w:r w:rsidR="00BC1A46">
        <w:rPr>
          <w:rFonts w:hint="cs"/>
          <w:rtl/>
          <w:lang w:bidi="ar-QA"/>
        </w:rPr>
        <w:t>ي</w:t>
      </w:r>
      <w:r w:rsidR="00AF3321">
        <w:rPr>
          <w:rFonts w:hint="cs"/>
          <w:rtl/>
          <w:lang w:bidi="ar-QA"/>
        </w:rPr>
        <w:t>ْ</w:t>
      </w:r>
      <w:r w:rsidR="00BC1A46">
        <w:rPr>
          <w:rFonts w:hint="cs"/>
          <w:rtl/>
          <w:lang w:bidi="ar-QA"/>
        </w:rPr>
        <w:t>ن ع</w:t>
      </w:r>
      <w:r w:rsidR="00AF3321">
        <w:rPr>
          <w:rFonts w:hint="cs"/>
          <w:rtl/>
          <w:lang w:bidi="ar-QA"/>
        </w:rPr>
        <w:t>ُ</w:t>
      </w:r>
      <w:r w:rsidR="00BC1A46">
        <w:rPr>
          <w:rFonts w:hint="cs"/>
          <w:rtl/>
          <w:lang w:bidi="ar-QA"/>
        </w:rPr>
        <w:t>ض</w:t>
      </w:r>
      <w:r w:rsidR="00AF3321">
        <w:rPr>
          <w:rFonts w:hint="cs"/>
          <w:rtl/>
          <w:lang w:bidi="ar-QA"/>
        </w:rPr>
        <w:t>ْ</w:t>
      </w:r>
      <w:r w:rsidR="00BC1A46">
        <w:rPr>
          <w:rFonts w:hint="cs"/>
          <w:rtl/>
          <w:lang w:bidi="ar-QA"/>
        </w:rPr>
        <w:t>و</w:t>
      </w:r>
      <w:r w:rsidR="00AF3321">
        <w:rPr>
          <w:rFonts w:hint="cs"/>
          <w:rtl/>
          <w:lang w:bidi="ar-QA"/>
        </w:rPr>
        <w:t>ِ</w:t>
      </w:r>
      <w:r w:rsidR="00BC1A46">
        <w:rPr>
          <w:rFonts w:hint="cs"/>
          <w:rtl/>
          <w:lang w:bidi="ar-QA"/>
        </w:rPr>
        <w:t>ي</w:t>
      </w:r>
      <w:r w:rsidR="00AF3321">
        <w:rPr>
          <w:rFonts w:hint="cs"/>
          <w:rtl/>
          <w:lang w:bidi="ar-QA"/>
        </w:rPr>
        <w:t>ّ</w:t>
      </w:r>
      <w:r w:rsidR="00BC1A46">
        <w:rPr>
          <w:rFonts w:hint="cs"/>
          <w:rtl/>
          <w:lang w:bidi="ar-QA"/>
        </w:rPr>
        <w:t>ين إثنين م</w:t>
      </w:r>
      <w:r w:rsidR="00AF3321">
        <w:rPr>
          <w:rFonts w:hint="cs"/>
          <w:rtl/>
          <w:lang w:bidi="ar-QA"/>
        </w:rPr>
        <w:t>ُ</w:t>
      </w:r>
      <w:r w:rsidR="00BC1A46">
        <w:rPr>
          <w:rFonts w:hint="cs"/>
          <w:rtl/>
          <w:lang w:bidi="ar-QA"/>
        </w:rPr>
        <w:t>ذاب</w:t>
      </w:r>
      <w:r w:rsidR="00AF3321">
        <w:rPr>
          <w:rFonts w:hint="cs"/>
          <w:rtl/>
          <w:lang w:bidi="ar-QA"/>
        </w:rPr>
        <w:t>َ</w:t>
      </w:r>
      <w:r w:rsidR="00BC1A46">
        <w:rPr>
          <w:rFonts w:hint="cs"/>
          <w:rtl/>
          <w:lang w:bidi="ar-QA"/>
        </w:rPr>
        <w:t xml:space="preserve">ين في محلول مائي هما الرودامين </w:t>
      </w:r>
      <w:r w:rsidR="00BC1A46">
        <w:rPr>
          <w:lang w:bidi="ar-QA"/>
        </w:rPr>
        <w:t>B</w:t>
      </w:r>
      <w:r w:rsidR="00BC1A46">
        <w:rPr>
          <w:rFonts w:hint="cs"/>
          <w:rtl/>
          <w:lang w:bidi="ar-QA"/>
        </w:rPr>
        <w:t xml:space="preserve"> و الإيثيل البنفسجي. أظهرت التحاليل التي أ</w:t>
      </w:r>
      <w:r w:rsidR="00A848A7">
        <w:rPr>
          <w:rFonts w:hint="cs"/>
          <w:rtl/>
          <w:lang w:bidi="ar-QA"/>
        </w:rPr>
        <w:t>ُ</w:t>
      </w:r>
      <w:r w:rsidR="00BC1A46">
        <w:rPr>
          <w:rFonts w:hint="cs"/>
          <w:rtl/>
          <w:lang w:bidi="ar-QA"/>
        </w:rPr>
        <w:t>ج</w:t>
      </w:r>
      <w:r w:rsidR="0001200D">
        <w:rPr>
          <w:rFonts w:hint="cs"/>
          <w:rtl/>
          <w:lang w:bidi="ar-QA"/>
        </w:rPr>
        <w:t>ريناها</w:t>
      </w:r>
      <w:r w:rsidR="00BC1A46">
        <w:rPr>
          <w:rFonts w:hint="cs"/>
          <w:rtl/>
          <w:lang w:bidi="ar-QA"/>
        </w:rPr>
        <w:t xml:space="preserve"> لتحديد خصائص المادة المازّة </w:t>
      </w:r>
      <w:r w:rsidR="00A763C7">
        <w:rPr>
          <w:rFonts w:hint="cs"/>
          <w:rtl/>
          <w:lang w:bidi="ar-QA"/>
        </w:rPr>
        <w:t>بواسطة</w:t>
      </w:r>
      <w:r w:rsidR="00BC1A46">
        <w:rPr>
          <w:rFonts w:hint="cs"/>
          <w:rtl/>
          <w:lang w:bidi="ar-QA"/>
        </w:rPr>
        <w:t xml:space="preserve"> </w:t>
      </w:r>
      <w:r w:rsidR="00A763C7">
        <w:rPr>
          <w:rFonts w:hint="cs"/>
          <w:rtl/>
          <w:lang w:bidi="ar-QA"/>
        </w:rPr>
        <w:t>المجهر الإلكتروني و تقنية حُيود اللّيزر و طريقة برونوير- إيمت - تـيلر</w:t>
      </w:r>
      <w:r w:rsidR="00A763C7">
        <w:rPr>
          <w:lang w:bidi="ar-QA"/>
        </w:rPr>
        <w:t xml:space="preserve">(BET) </w:t>
      </w:r>
      <w:r w:rsidR="00A763C7">
        <w:rPr>
          <w:rFonts w:hint="cs"/>
          <w:rtl/>
          <w:lang w:bidi="ar-QA"/>
        </w:rPr>
        <w:t xml:space="preserve"> أنّ أوراق المُصْطَكَى تَمتَلِكُ مَسامِيَة مُعتبرة تُؤهلها لتطبيقات الإمتزاز.</w:t>
      </w:r>
      <w:r w:rsidR="005C72A5">
        <w:rPr>
          <w:rFonts w:hint="cs"/>
          <w:rtl/>
          <w:lang w:bidi="ar-QA"/>
        </w:rPr>
        <w:t xml:space="preserve"> </w:t>
      </w:r>
      <w:r w:rsidR="00E30CDD">
        <w:rPr>
          <w:rFonts w:hint="cs"/>
          <w:rtl/>
          <w:lang w:bidi="ar-QA"/>
        </w:rPr>
        <w:t>كما</w:t>
      </w:r>
      <w:r w:rsidR="005C72A5">
        <w:rPr>
          <w:rFonts w:hint="cs"/>
          <w:rtl/>
          <w:lang w:bidi="ar-QA"/>
        </w:rPr>
        <w:t xml:space="preserve"> سَمَحَتْ التحاليل الكيميائية بتحديد قيمة حموضة </w:t>
      </w:r>
      <w:r w:rsidR="005C72A5">
        <w:rPr>
          <w:lang w:bidi="ar-QA"/>
        </w:rPr>
        <w:t>(pH)</w:t>
      </w:r>
      <w:r w:rsidR="005C72A5">
        <w:rPr>
          <w:rFonts w:hint="cs"/>
          <w:rtl/>
          <w:lang w:bidi="ar-EG"/>
        </w:rPr>
        <w:t xml:space="preserve"> نقطة تَحَوّل الشُّحنَة السطحية و</w:t>
      </w:r>
      <w:r w:rsidR="00AF3321">
        <w:rPr>
          <w:rFonts w:hint="cs"/>
          <w:rtl/>
          <w:lang w:bidi="ar-EG"/>
        </w:rPr>
        <w:t>التعرّف على</w:t>
      </w:r>
      <w:r w:rsidR="005C72A5">
        <w:rPr>
          <w:rFonts w:hint="cs"/>
          <w:rtl/>
          <w:lang w:bidi="ar-EG"/>
        </w:rPr>
        <w:t xml:space="preserve"> الوظائف السطحية بواسطة منهجية بوهم </w:t>
      </w:r>
      <w:r w:rsidR="005C72A5">
        <w:rPr>
          <w:lang w:bidi="ar-EG"/>
        </w:rPr>
        <w:t>(Boehm)</w:t>
      </w:r>
      <w:r w:rsidR="005C72A5">
        <w:rPr>
          <w:rFonts w:hint="cs"/>
          <w:rtl/>
          <w:lang w:bidi="ar-EG"/>
        </w:rPr>
        <w:t xml:space="preserve"> و تقنية التحليل الطيفي للأشعة تحت الحمراء </w:t>
      </w:r>
      <w:r w:rsidR="005C72A5">
        <w:rPr>
          <w:lang w:bidi="ar-EG"/>
        </w:rPr>
        <w:t>(FTIR)</w:t>
      </w:r>
      <w:r w:rsidR="005C72A5">
        <w:rPr>
          <w:rFonts w:hint="cs"/>
          <w:rtl/>
          <w:lang w:bidi="ar-EG"/>
        </w:rPr>
        <w:t>. كل النتائج تؤكد أن سطح المازّ حامضٌ نوعا ما و مُشكلٌ أساساً من وظائف فينولية.</w:t>
      </w:r>
      <w:r w:rsidR="00035F69">
        <w:rPr>
          <w:rFonts w:hint="cs"/>
          <w:rtl/>
          <w:lang w:bidi="ar-EG"/>
        </w:rPr>
        <w:t xml:space="preserve"> </w:t>
      </w:r>
      <w:r w:rsidR="00E30CDD">
        <w:rPr>
          <w:rFonts w:hint="cs"/>
          <w:rtl/>
          <w:lang w:bidi="ar-QA"/>
        </w:rPr>
        <w:t xml:space="preserve">من جانبٍ آخر، تمَّت دراسة أثَر جملة من البارامترات العملية على مجرى تفاعل الإمتزاز و تحديد قِيَمها المُثلى </w:t>
      </w:r>
      <w:r w:rsidR="00E60882">
        <w:rPr>
          <w:rFonts w:hint="cs"/>
          <w:rtl/>
          <w:lang w:bidi="ar-QA"/>
        </w:rPr>
        <w:t>كمدة إتصال المازّ بالمحلول</w:t>
      </w:r>
      <w:r w:rsidR="00A848A7">
        <w:rPr>
          <w:rFonts w:hint="cs"/>
          <w:rtl/>
          <w:lang w:bidi="ar-QA"/>
        </w:rPr>
        <w:t xml:space="preserve"> </w:t>
      </w:r>
      <w:r w:rsidR="00E60882">
        <w:rPr>
          <w:rFonts w:hint="cs"/>
          <w:rtl/>
          <w:lang w:bidi="ar-QA"/>
        </w:rPr>
        <w:t xml:space="preserve">و </w:t>
      </w:r>
      <w:r w:rsidR="00E30CDD">
        <w:rPr>
          <w:rFonts w:hint="cs"/>
          <w:rtl/>
          <w:lang w:bidi="ar-QA"/>
        </w:rPr>
        <w:t>التركيز الإبتدائي للصبغ</w:t>
      </w:r>
      <w:r w:rsidR="00E60882">
        <w:rPr>
          <w:rFonts w:hint="cs"/>
          <w:rtl/>
          <w:lang w:bidi="ar-QA"/>
        </w:rPr>
        <w:t xml:space="preserve"> و</w:t>
      </w:r>
      <w:r w:rsidR="00E30CDD">
        <w:rPr>
          <w:rFonts w:hint="cs"/>
          <w:rtl/>
          <w:lang w:bidi="ar-QA"/>
        </w:rPr>
        <w:t xml:space="preserve"> كمية المازّ</w:t>
      </w:r>
      <w:r w:rsidR="00E60882">
        <w:rPr>
          <w:rFonts w:hint="cs"/>
          <w:rtl/>
          <w:lang w:bidi="ar-QA"/>
        </w:rPr>
        <w:t xml:space="preserve"> و</w:t>
      </w:r>
      <w:r w:rsidR="00E30CDD">
        <w:rPr>
          <w:rFonts w:hint="cs"/>
          <w:rtl/>
          <w:lang w:bidi="ar-QA"/>
        </w:rPr>
        <w:t xml:space="preserve"> حموضة المحلول</w:t>
      </w:r>
      <w:r w:rsidR="00E60882">
        <w:rPr>
          <w:rFonts w:hint="cs"/>
          <w:rtl/>
          <w:lang w:bidi="ar-QA"/>
        </w:rPr>
        <w:t xml:space="preserve"> و</w:t>
      </w:r>
      <w:r w:rsidR="00E30CDD">
        <w:rPr>
          <w:rFonts w:hint="cs"/>
          <w:rtl/>
          <w:lang w:bidi="ar-QA"/>
        </w:rPr>
        <w:t xml:space="preserve"> درجة الحرارة و القوة الأيونية. تُظهِر دراسة مُتَساويات الحرارة (</w:t>
      </w:r>
      <w:proofErr w:type="spellStart"/>
      <w:r w:rsidR="00E30CDD">
        <w:rPr>
          <w:rFonts w:hint="cs"/>
          <w:rtl/>
          <w:lang w:bidi="ar-QA"/>
        </w:rPr>
        <w:t>الأيسوثرمات</w:t>
      </w:r>
      <w:proofErr w:type="spellEnd"/>
      <w:r w:rsidR="00E30CDD">
        <w:rPr>
          <w:rFonts w:hint="cs"/>
          <w:rtl/>
          <w:lang w:bidi="ar-QA"/>
        </w:rPr>
        <w:t>) لِكِلى الصّبغَين أنها من</w:t>
      </w:r>
      <w:r w:rsidR="003560E2">
        <w:rPr>
          <w:lang w:bidi="ar-QA"/>
        </w:rPr>
        <w:br/>
      </w:r>
      <w:r w:rsidR="00E30CDD">
        <w:rPr>
          <w:rFonts w:hint="cs"/>
          <w:rtl/>
          <w:lang w:bidi="ar-QA"/>
        </w:rPr>
        <w:t xml:space="preserve"> </w:t>
      </w:r>
      <w:r w:rsidR="003560E2">
        <w:rPr>
          <w:rFonts w:hint="cs"/>
          <w:rtl/>
          <w:lang w:bidi="ar-QA"/>
        </w:rPr>
        <w:t>ال</w:t>
      </w:r>
      <w:r w:rsidR="00E30CDD">
        <w:rPr>
          <w:rFonts w:hint="cs"/>
          <w:rtl/>
          <w:lang w:bidi="ar-QA"/>
        </w:rPr>
        <w:t xml:space="preserve">صنف </w:t>
      </w:r>
      <w:r w:rsidR="00E30CDD">
        <w:rPr>
          <w:lang w:bidi="ar-QA"/>
        </w:rPr>
        <w:t>L</w:t>
      </w:r>
      <w:r w:rsidR="00E30CDD">
        <w:rPr>
          <w:rFonts w:hint="cs"/>
          <w:rtl/>
          <w:lang w:bidi="ar-QA"/>
        </w:rPr>
        <w:t xml:space="preserve"> تَبَعا لتصنيف </w:t>
      </w:r>
      <w:r w:rsidR="00E30CDD">
        <w:rPr>
          <w:lang w:bidi="ar-QA"/>
        </w:rPr>
        <w:t>IUPAC</w:t>
      </w:r>
      <w:r w:rsidR="00E30CDD">
        <w:rPr>
          <w:rFonts w:hint="cs"/>
          <w:rtl/>
          <w:lang w:bidi="ar-EG"/>
        </w:rPr>
        <w:t xml:space="preserve"> و من </w:t>
      </w:r>
      <w:r w:rsidR="003560E2">
        <w:rPr>
          <w:rFonts w:hint="cs"/>
          <w:rtl/>
          <w:lang w:bidi="ar-DZ"/>
        </w:rPr>
        <w:t>ال</w:t>
      </w:r>
      <w:r w:rsidR="00E30CDD">
        <w:rPr>
          <w:rFonts w:hint="cs"/>
          <w:rtl/>
          <w:lang w:bidi="ar-EG"/>
        </w:rPr>
        <w:t xml:space="preserve">صنف </w:t>
      </w:r>
      <w:r w:rsidR="00E30CDD">
        <w:rPr>
          <w:lang w:bidi="ar-EG"/>
        </w:rPr>
        <w:t>II</w:t>
      </w:r>
      <w:r w:rsidR="00E30CDD">
        <w:rPr>
          <w:rFonts w:hint="cs"/>
          <w:rtl/>
          <w:lang w:bidi="ar-EG"/>
        </w:rPr>
        <w:t xml:space="preserve"> وفقا لتصنيف </w:t>
      </w:r>
      <w:proofErr w:type="spellStart"/>
      <w:r w:rsidR="00E30CDD">
        <w:rPr>
          <w:rFonts w:hint="cs"/>
          <w:rtl/>
          <w:lang w:bidi="ar-EG"/>
        </w:rPr>
        <w:t>برونوير</w:t>
      </w:r>
      <w:proofErr w:type="spellEnd"/>
      <w:r w:rsidR="00E30CDD">
        <w:rPr>
          <w:rFonts w:hint="cs"/>
          <w:rtl/>
          <w:lang w:bidi="ar-EG"/>
        </w:rPr>
        <w:t xml:space="preserve"> و زملائه. إضافة إلى ذلك، فقد استنتجنا أن نموذج فروندليش الذي يعتمد على نظرية التعبئة متعددة الطبقات هو الأنسب لصَوغ و تمثيل </w:t>
      </w:r>
      <w:proofErr w:type="spellStart"/>
      <w:r w:rsidR="00E30CDD">
        <w:rPr>
          <w:rFonts w:hint="cs"/>
          <w:rtl/>
          <w:lang w:bidi="ar-EG"/>
        </w:rPr>
        <w:t>إمتزاز</w:t>
      </w:r>
      <w:proofErr w:type="spellEnd"/>
      <w:r w:rsidR="00E30CDD">
        <w:rPr>
          <w:rFonts w:hint="cs"/>
          <w:rtl/>
          <w:lang w:bidi="ar-EG"/>
        </w:rPr>
        <w:t xml:space="preserve"> الصبغين </w:t>
      </w:r>
      <w:proofErr w:type="spellStart"/>
      <w:r w:rsidR="00E30CDD">
        <w:rPr>
          <w:rFonts w:hint="cs"/>
          <w:rtl/>
          <w:lang w:bidi="ar-EG"/>
        </w:rPr>
        <w:t>الإثنين</w:t>
      </w:r>
      <w:proofErr w:type="spellEnd"/>
      <w:r w:rsidR="00E30CDD">
        <w:rPr>
          <w:rFonts w:hint="cs"/>
          <w:rtl/>
          <w:lang w:bidi="ar-EG"/>
        </w:rPr>
        <w:t xml:space="preserve"> على أوراق المُصطَكى. كما أن حركية كلى التفاعلين </w:t>
      </w:r>
      <w:r w:rsidR="00AF3321">
        <w:rPr>
          <w:rFonts w:hint="cs"/>
          <w:rtl/>
          <w:lang w:bidi="ar-EG"/>
        </w:rPr>
        <w:t xml:space="preserve">تخضع لنموذج شبه الرتبة الثانية. أما الدراسة الحرارية فإنها تُظهِرُ أن التفاعلَين تلقائيين مع وجود </w:t>
      </w:r>
      <w:r w:rsidR="003E60B3">
        <w:rPr>
          <w:rFonts w:hint="cs"/>
          <w:rtl/>
          <w:lang w:bidi="ar-EG"/>
        </w:rPr>
        <w:t>تآلف</w:t>
      </w:r>
      <w:r w:rsidR="00AF3321">
        <w:rPr>
          <w:rFonts w:hint="cs"/>
          <w:rtl/>
          <w:lang w:bidi="ar-EG"/>
        </w:rPr>
        <w:t xml:space="preserve"> بين المازّ و</w:t>
      </w:r>
      <w:r w:rsidR="00A848A7">
        <w:rPr>
          <w:rFonts w:hint="cs"/>
          <w:rtl/>
          <w:lang w:bidi="ar-EG"/>
        </w:rPr>
        <w:t xml:space="preserve"> الصبغ</w:t>
      </w:r>
      <w:r w:rsidR="00AF3321">
        <w:rPr>
          <w:rFonts w:hint="cs"/>
          <w:rtl/>
          <w:lang w:bidi="ar-EG"/>
        </w:rPr>
        <w:t xml:space="preserve"> المُمتَز.</w:t>
      </w:r>
    </w:p>
    <w:p w:rsidR="00AF3321" w:rsidRDefault="003E60B3" w:rsidP="00917CBB">
      <w:pPr>
        <w:pBdr>
          <w:top w:val="single" w:sz="4" w:space="1" w:color="auto"/>
          <w:left w:val="single" w:sz="4" w:space="4" w:color="auto"/>
          <w:bottom w:val="single" w:sz="4" w:space="1" w:color="auto"/>
          <w:right w:val="single" w:sz="4" w:space="4" w:color="auto"/>
        </w:pBdr>
        <w:bidi/>
        <w:jc w:val="both"/>
        <w:rPr>
          <w:rtl/>
          <w:lang w:bidi="ar-EG"/>
        </w:rPr>
      </w:pPr>
      <w:r>
        <w:rPr>
          <w:rFonts w:hint="cs"/>
          <w:rtl/>
          <w:lang w:bidi="ar-EG"/>
        </w:rPr>
        <w:t xml:space="preserve">إضافة إلى ما سبق فإنه قد تَمّ بحث إمكانية اللجوء إلى تفاعلات التحفيز الضوئي غير المتجانس لإزالة بقايا الصبغين بعد عملية الإمتزاز و ذلك باستعمال شِبه مُوَصّل تَمّ تَركيبه و اختباره و هو: </w:t>
      </w:r>
      <w:r>
        <w:rPr>
          <w:lang w:bidi="ar-EG"/>
        </w:rPr>
        <w:t>Ba</w:t>
      </w:r>
      <w:r>
        <w:rPr>
          <w:vertAlign w:val="subscript"/>
          <w:lang w:bidi="ar-EG"/>
        </w:rPr>
        <w:t>2</w:t>
      </w:r>
      <w:r>
        <w:rPr>
          <w:lang w:bidi="ar-EG"/>
        </w:rPr>
        <w:t>Fe</w:t>
      </w:r>
      <w:r>
        <w:rPr>
          <w:vertAlign w:val="subscript"/>
          <w:lang w:bidi="ar-EG"/>
        </w:rPr>
        <w:t>2</w:t>
      </w:r>
      <w:r>
        <w:rPr>
          <w:lang w:bidi="ar-EG"/>
        </w:rPr>
        <w:t>O</w:t>
      </w:r>
      <w:r>
        <w:rPr>
          <w:vertAlign w:val="subscript"/>
          <w:lang w:bidi="ar-EG"/>
        </w:rPr>
        <w:t>5</w:t>
      </w:r>
      <w:r>
        <w:rPr>
          <w:rFonts w:hint="cs"/>
          <w:rtl/>
          <w:lang w:bidi="ar-EG"/>
        </w:rPr>
        <w:t>. لقد كانت نتائج استعمال شبه الموصل سالف الذكر جيّدة في إزالة الإيثيل البنفسجي باستعمال الأشع</w:t>
      </w:r>
      <w:r w:rsidR="00C30CE7">
        <w:rPr>
          <w:rFonts w:hint="cs"/>
          <w:rtl/>
          <w:lang w:bidi="ar-EG"/>
        </w:rPr>
        <w:t xml:space="preserve">ة فوق البنفسجية و الأشعة المرئية و أشعة الشمس المباشرة، غير أنه لم يكن ذا جدوى في إزالة الرودامين </w:t>
      </w:r>
      <w:r w:rsidR="00C30CE7">
        <w:rPr>
          <w:lang w:bidi="ar-EG"/>
        </w:rPr>
        <w:t>B</w:t>
      </w:r>
      <w:r w:rsidR="00C30CE7">
        <w:rPr>
          <w:rFonts w:hint="cs"/>
          <w:rtl/>
          <w:lang w:bidi="ar-EG"/>
        </w:rPr>
        <w:t xml:space="preserve"> إلا عند ارتباطه بأكسيد الزنك </w:t>
      </w:r>
      <w:r w:rsidR="00C30CE7">
        <w:rPr>
          <w:lang w:bidi="ar-EG"/>
        </w:rPr>
        <w:t>(</w:t>
      </w:r>
      <w:proofErr w:type="spellStart"/>
      <w:r w:rsidR="00C30CE7">
        <w:rPr>
          <w:lang w:bidi="ar-EG"/>
        </w:rPr>
        <w:t>ZnO</w:t>
      </w:r>
      <w:proofErr w:type="spellEnd"/>
      <w:r w:rsidR="00C30CE7">
        <w:rPr>
          <w:lang w:bidi="ar-EG"/>
        </w:rPr>
        <w:t>)</w:t>
      </w:r>
      <w:r w:rsidR="00C30CE7">
        <w:rPr>
          <w:rFonts w:hint="cs"/>
          <w:rtl/>
          <w:lang w:bidi="ar-EG"/>
        </w:rPr>
        <w:t xml:space="preserve"> </w:t>
      </w:r>
      <w:r w:rsidR="00A848A7">
        <w:rPr>
          <w:rFonts w:hint="cs"/>
          <w:rtl/>
          <w:lang w:bidi="ar-EG"/>
        </w:rPr>
        <w:t xml:space="preserve">الذي </w:t>
      </w:r>
      <w:r w:rsidR="00C30CE7">
        <w:rPr>
          <w:rFonts w:hint="cs"/>
          <w:rtl/>
          <w:lang w:bidi="ar-EG"/>
        </w:rPr>
        <w:t>تمّ استعمال</w:t>
      </w:r>
      <w:r w:rsidR="00A848A7">
        <w:rPr>
          <w:rFonts w:hint="cs"/>
          <w:rtl/>
          <w:lang w:bidi="ar-EG"/>
        </w:rPr>
        <w:t>ه في نهاية المطاف</w:t>
      </w:r>
      <w:r w:rsidR="00C30CE7">
        <w:rPr>
          <w:rFonts w:hint="cs"/>
          <w:rtl/>
          <w:lang w:bidi="ar-EG"/>
        </w:rPr>
        <w:t xml:space="preserve"> لإزالة بقايا </w:t>
      </w:r>
      <w:proofErr w:type="spellStart"/>
      <w:r w:rsidR="00C30CE7">
        <w:rPr>
          <w:rFonts w:hint="cs"/>
          <w:rtl/>
          <w:lang w:bidi="ar-EG"/>
        </w:rPr>
        <w:t>الرودامين</w:t>
      </w:r>
      <w:proofErr w:type="spellEnd"/>
      <w:r w:rsidR="00C30CE7">
        <w:rPr>
          <w:lang w:bidi="ar-EG"/>
        </w:rPr>
        <w:t xml:space="preserve"> B</w:t>
      </w:r>
      <w:r w:rsidR="00A848A7">
        <w:rPr>
          <w:rFonts w:hint="cs"/>
          <w:rtl/>
          <w:lang w:bidi="ar-EG"/>
        </w:rPr>
        <w:t>.</w:t>
      </w:r>
      <w:r w:rsidR="00C30CE7">
        <w:rPr>
          <w:lang w:bidi="ar-EG"/>
        </w:rPr>
        <w:t xml:space="preserve"> </w:t>
      </w:r>
      <w:r w:rsidR="00C30CE7">
        <w:rPr>
          <w:rFonts w:hint="cs"/>
          <w:rtl/>
          <w:lang w:bidi="ar-EG"/>
        </w:rPr>
        <w:t>كما تم تحديد الق</w:t>
      </w:r>
      <w:r w:rsidR="00A848A7">
        <w:rPr>
          <w:rFonts w:hint="cs"/>
          <w:rtl/>
          <w:lang w:bidi="ar-EG"/>
        </w:rPr>
        <w:t>ِ</w:t>
      </w:r>
      <w:r w:rsidR="00C30CE7">
        <w:rPr>
          <w:rFonts w:hint="cs"/>
          <w:rtl/>
          <w:lang w:bidi="ar-EG"/>
        </w:rPr>
        <w:t>ي</w:t>
      </w:r>
      <w:r w:rsidR="00A848A7">
        <w:rPr>
          <w:rFonts w:hint="cs"/>
          <w:rtl/>
          <w:lang w:bidi="ar-EG"/>
        </w:rPr>
        <w:t>َ</w:t>
      </w:r>
      <w:r w:rsidR="00C30CE7">
        <w:rPr>
          <w:rFonts w:hint="cs"/>
          <w:rtl/>
          <w:lang w:bidi="ar-EG"/>
        </w:rPr>
        <w:t>م الم</w:t>
      </w:r>
      <w:r w:rsidR="00A848A7">
        <w:rPr>
          <w:rFonts w:hint="cs"/>
          <w:rtl/>
          <w:lang w:bidi="ar-EG"/>
        </w:rPr>
        <w:t>ُ</w:t>
      </w:r>
      <w:r w:rsidR="00C30CE7">
        <w:rPr>
          <w:rFonts w:hint="cs"/>
          <w:rtl/>
          <w:lang w:bidi="ar-EG"/>
        </w:rPr>
        <w:t>ثلى لجملة من البارامترات العملية كمدة</w:t>
      </w:r>
      <w:r w:rsidR="00097DFC">
        <w:rPr>
          <w:rFonts w:hint="cs"/>
          <w:rtl/>
          <w:lang w:bidi="ar-EG"/>
        </w:rPr>
        <w:t xml:space="preserve"> الإبقاء في العَتَمة و مدة</w:t>
      </w:r>
      <w:r w:rsidR="00C30CE7">
        <w:rPr>
          <w:rFonts w:hint="cs"/>
          <w:rtl/>
          <w:lang w:bidi="ar-EG"/>
        </w:rPr>
        <w:t xml:space="preserve"> الإتصال و التركيز الإبتدائي و كمية المُحَفِّز و الحُموضة</w:t>
      </w:r>
      <w:r w:rsidR="00917CBB">
        <w:rPr>
          <w:rFonts w:hint="cs"/>
          <w:rtl/>
          <w:lang w:bidi="ar-EG"/>
        </w:rPr>
        <w:t xml:space="preserve"> و طبيعة الأشعة و ارتفاع مصدر الإشعاع</w:t>
      </w:r>
      <w:r w:rsidR="00C30CE7">
        <w:rPr>
          <w:rFonts w:hint="cs"/>
          <w:rtl/>
          <w:lang w:bidi="ar-EG"/>
        </w:rPr>
        <w:t xml:space="preserve">. </w:t>
      </w:r>
      <w:r w:rsidR="00097DFC">
        <w:rPr>
          <w:rFonts w:hint="cs"/>
          <w:rtl/>
          <w:lang w:bidi="ar-EG"/>
        </w:rPr>
        <w:t>تُظهر الدراسة</w:t>
      </w:r>
      <w:r w:rsidR="00A848A7">
        <w:rPr>
          <w:rFonts w:hint="cs"/>
          <w:rtl/>
          <w:lang w:bidi="ar-EG"/>
        </w:rPr>
        <w:t xml:space="preserve"> </w:t>
      </w:r>
      <w:r w:rsidR="00097DFC">
        <w:rPr>
          <w:rFonts w:hint="cs"/>
          <w:rtl/>
          <w:lang w:bidi="ar-EG"/>
        </w:rPr>
        <w:t>الحركية ل</w:t>
      </w:r>
      <w:r w:rsidR="00C30CE7">
        <w:rPr>
          <w:rFonts w:hint="cs"/>
          <w:rtl/>
          <w:lang w:bidi="ar-EG"/>
        </w:rPr>
        <w:t>لت</w:t>
      </w:r>
      <w:r w:rsidR="00097DFC">
        <w:rPr>
          <w:rFonts w:hint="cs"/>
          <w:rtl/>
          <w:lang w:bidi="ar-EG"/>
        </w:rPr>
        <w:t>ّ</w:t>
      </w:r>
      <w:r w:rsidR="00C30CE7">
        <w:rPr>
          <w:rFonts w:hint="cs"/>
          <w:rtl/>
          <w:lang w:bidi="ar-EG"/>
        </w:rPr>
        <w:t xml:space="preserve">فاعلين المُحَفَّزين ضوئيا </w:t>
      </w:r>
      <w:r w:rsidR="00097DFC">
        <w:rPr>
          <w:rFonts w:hint="cs"/>
          <w:rtl/>
          <w:lang w:bidi="ar-EG"/>
        </w:rPr>
        <w:t>أنهما</w:t>
      </w:r>
      <w:r w:rsidR="00C30CE7">
        <w:rPr>
          <w:rFonts w:hint="cs"/>
          <w:rtl/>
          <w:lang w:bidi="ar-EG"/>
        </w:rPr>
        <w:t xml:space="preserve"> من الرتبة الأولى.</w:t>
      </w:r>
    </w:p>
    <w:p w:rsidR="00BC1A46" w:rsidRDefault="00097DFC" w:rsidP="0001200D">
      <w:pPr>
        <w:bidi/>
        <w:jc w:val="both"/>
        <w:rPr>
          <w:rtl/>
          <w:lang w:bidi="ar-EG"/>
        </w:rPr>
      </w:pPr>
      <w:r w:rsidRPr="00097DFC">
        <w:rPr>
          <w:rFonts w:hint="cs"/>
          <w:u w:val="single"/>
          <w:rtl/>
          <w:lang w:bidi="ar-EG"/>
        </w:rPr>
        <w:t>كلمات البحث</w:t>
      </w:r>
      <w:r>
        <w:rPr>
          <w:rFonts w:hint="cs"/>
          <w:rtl/>
          <w:lang w:bidi="ar-EG"/>
        </w:rPr>
        <w:t>: المازّات الحيوية،</w:t>
      </w:r>
      <w:r w:rsidR="00917CBB">
        <w:rPr>
          <w:rFonts w:hint="cs"/>
          <w:rtl/>
          <w:lang w:bidi="ar-EG"/>
        </w:rPr>
        <w:t xml:space="preserve"> الإمتزاز الحيوي،</w:t>
      </w:r>
      <w:r>
        <w:rPr>
          <w:rFonts w:hint="cs"/>
          <w:rtl/>
          <w:lang w:bidi="ar-EG"/>
        </w:rPr>
        <w:t xml:space="preserve"> إمتزاز الأصباغ ال</w:t>
      </w:r>
      <w:r w:rsidR="0001200D">
        <w:rPr>
          <w:rFonts w:hint="cs"/>
          <w:rtl/>
          <w:lang w:bidi="ar-EG"/>
        </w:rPr>
        <w:t>ذائبة</w:t>
      </w:r>
      <w:r>
        <w:rPr>
          <w:rFonts w:hint="cs"/>
          <w:rtl/>
          <w:lang w:bidi="ar-EG"/>
        </w:rPr>
        <w:t xml:space="preserve"> ، المُصْطَكَى ، الدرو ، الضرو ، التحفيز الضوئي ، الرودامين </w:t>
      </w:r>
      <w:r>
        <w:rPr>
          <w:lang w:bidi="ar-EG"/>
        </w:rPr>
        <w:t>B</w:t>
      </w:r>
      <w:r>
        <w:rPr>
          <w:rFonts w:hint="cs"/>
          <w:rtl/>
          <w:lang w:bidi="ar-EG"/>
        </w:rPr>
        <w:t xml:space="preserve"> ، الإيثيل البنفسجي.</w:t>
      </w:r>
    </w:p>
    <w:p w:rsidR="002F457D" w:rsidRDefault="002F457D" w:rsidP="002F457D">
      <w:pPr>
        <w:bidi/>
        <w:jc w:val="both"/>
        <w:rPr>
          <w:rtl/>
          <w:lang w:bidi="ar-EG"/>
        </w:rPr>
      </w:pPr>
    </w:p>
    <w:p w:rsidR="002F457D" w:rsidRDefault="002F457D" w:rsidP="002F457D">
      <w:pPr>
        <w:bidi/>
        <w:jc w:val="both"/>
        <w:rPr>
          <w:rtl/>
          <w:lang w:bidi="ar-EG"/>
        </w:rPr>
      </w:pPr>
    </w:p>
    <w:p w:rsidR="002F457D" w:rsidRDefault="002F457D" w:rsidP="002F457D">
      <w:pPr>
        <w:bidi/>
        <w:jc w:val="both"/>
        <w:rPr>
          <w:rtl/>
          <w:lang w:bidi="ar-EG"/>
        </w:rPr>
      </w:pPr>
    </w:p>
    <w:p w:rsidR="002F457D" w:rsidRDefault="002F457D" w:rsidP="002F457D">
      <w:pPr>
        <w:bidi/>
        <w:jc w:val="both"/>
        <w:rPr>
          <w:rtl/>
          <w:lang w:bidi="ar-EG"/>
        </w:rPr>
      </w:pPr>
    </w:p>
    <w:p w:rsidR="002F457D" w:rsidRDefault="002F457D" w:rsidP="002F457D">
      <w:pPr>
        <w:bidi/>
        <w:jc w:val="both"/>
        <w:rPr>
          <w:rtl/>
          <w:lang w:bidi="ar-EG"/>
        </w:rPr>
      </w:pPr>
    </w:p>
    <w:p w:rsidR="002F457D" w:rsidRDefault="002F457D" w:rsidP="002F457D">
      <w:pPr>
        <w:bidi/>
        <w:jc w:val="both"/>
        <w:rPr>
          <w:rtl/>
          <w:lang w:bidi="ar-EG"/>
        </w:rPr>
      </w:pPr>
    </w:p>
    <w:p w:rsidR="002F457D" w:rsidRDefault="002F457D" w:rsidP="002F457D">
      <w:pPr>
        <w:bidi/>
        <w:jc w:val="both"/>
        <w:rPr>
          <w:lang w:bidi="ar-EG"/>
        </w:rPr>
      </w:pPr>
    </w:p>
    <w:p w:rsidR="002F457D" w:rsidRDefault="002F457D" w:rsidP="002F457D">
      <w:pPr>
        <w:bidi/>
        <w:jc w:val="both"/>
        <w:rPr>
          <w:rtl/>
          <w:lang w:bidi="ar-EG"/>
        </w:rPr>
      </w:pPr>
    </w:p>
    <w:p w:rsidR="002F457D" w:rsidRDefault="002F457D" w:rsidP="002F457D">
      <w:pPr>
        <w:pStyle w:val="Titre3"/>
        <w:jc w:val="center"/>
        <w:rPr>
          <w:rFonts w:asciiTheme="majorBidi" w:hAnsiTheme="majorBidi"/>
          <w:sz w:val="28"/>
          <w:szCs w:val="28"/>
        </w:rPr>
      </w:pPr>
      <w:bookmarkStart w:id="0" w:name="_Toc401474308"/>
      <w:r>
        <w:rPr>
          <w:rFonts w:asciiTheme="majorBidi" w:hAnsiTheme="majorBidi"/>
          <w:sz w:val="28"/>
          <w:szCs w:val="28"/>
        </w:rPr>
        <w:lastRenderedPageBreak/>
        <w:t>Etude de l’élimination de colorants en solution aqueuse par biosorption sur les feuilles du Pistachier Lentisque suivie d’une photocatalyse hétérogène</w:t>
      </w:r>
    </w:p>
    <w:p w:rsidR="002F457D" w:rsidRPr="007A565E" w:rsidRDefault="002F457D" w:rsidP="002F457D">
      <w:pPr>
        <w:pStyle w:val="Titre3"/>
        <w:rPr>
          <w:rFonts w:asciiTheme="majorBidi" w:hAnsiTheme="majorBidi"/>
          <w:sz w:val="28"/>
          <w:szCs w:val="28"/>
        </w:rPr>
      </w:pPr>
      <w:r w:rsidRPr="007A565E">
        <w:rPr>
          <w:rFonts w:asciiTheme="majorBidi" w:hAnsiTheme="majorBidi"/>
          <w:sz w:val="28"/>
          <w:szCs w:val="28"/>
        </w:rPr>
        <w:t>Résumé :</w:t>
      </w:r>
      <w:bookmarkEnd w:id="0"/>
    </w:p>
    <w:p w:rsidR="002F457D" w:rsidRPr="002F457D" w:rsidRDefault="002F457D" w:rsidP="00781F70">
      <w:pPr>
        <w:pBdr>
          <w:top w:val="single" w:sz="4" w:space="1" w:color="auto"/>
          <w:left w:val="single" w:sz="4" w:space="4" w:color="auto"/>
          <w:bottom w:val="single" w:sz="4" w:space="1" w:color="auto"/>
          <w:right w:val="single" w:sz="4" w:space="4" w:color="auto"/>
        </w:pBdr>
        <w:jc w:val="both"/>
        <w:rPr>
          <w:rFonts w:asciiTheme="majorBidi" w:hAnsiTheme="majorBidi" w:cstheme="majorBidi"/>
          <w:lang w:val="fr-FR"/>
        </w:rPr>
      </w:pPr>
      <w:bookmarkStart w:id="1" w:name="_GoBack"/>
      <w:r w:rsidRPr="002F457D">
        <w:rPr>
          <w:rFonts w:asciiTheme="majorBidi" w:hAnsiTheme="majorBidi" w:cstheme="majorBidi"/>
          <w:lang w:val="fr-FR"/>
        </w:rPr>
        <w:t xml:space="preserve">L’étude que nous avons menée nous a permis de confirmer le potentiel des feuilles du Pistachier Lentisque – arbuste très répandu dans le pourtour méditerranéen – dans l’élimination, par biosorption, de deux colorants organiques en solution aqueuse : La Rhodamine B et l’Ethyle violet. La caractérisation du biosorbant par Microscopie Electronique à Balayage (MEB), par Diffraction Laser et par la méthode de BET montre que ce matériau possède une porosité intéressante pour l’application envisagée. L’analyse chimique du biosorbant s’est faite en déterminant le pH de point de charge nulle, les groupes fonctionnels de surface par titrage acido-basique selon la méthode de Boehm ainsi que par analyse FTIR. Les résultats concordent dans la mise en évidence d’une surface légèrement acide composée essentiellement de groupements phénoliques. Les effets des paramètres opératoires de la biosorption ; temps de contact, concentration initiale du colorant, masse du biosorbant, pH de la solution, température et force ionique ; ont été étudiés et optimisés. Les deux colorants présentent un profil d’isotherme de type L selon l’IUPAC et de type II selon </w:t>
      </w:r>
      <w:proofErr w:type="spellStart"/>
      <w:r w:rsidRPr="002F457D">
        <w:rPr>
          <w:rFonts w:asciiTheme="majorBidi" w:hAnsiTheme="majorBidi" w:cstheme="majorBidi"/>
          <w:lang w:val="fr-FR"/>
        </w:rPr>
        <w:t>Brunauer</w:t>
      </w:r>
      <w:proofErr w:type="spellEnd"/>
      <w:r w:rsidRPr="002F457D">
        <w:rPr>
          <w:rFonts w:asciiTheme="majorBidi" w:hAnsiTheme="majorBidi" w:cstheme="majorBidi"/>
          <w:lang w:val="fr-FR"/>
        </w:rPr>
        <w:t xml:space="preserve"> </w:t>
      </w:r>
      <w:r w:rsidRPr="002F457D">
        <w:rPr>
          <w:rFonts w:asciiTheme="majorBidi" w:hAnsiTheme="majorBidi" w:cstheme="majorBidi"/>
          <w:i/>
          <w:iCs/>
          <w:lang w:val="fr-FR"/>
        </w:rPr>
        <w:t>et al</w:t>
      </w:r>
      <w:r w:rsidRPr="002F457D">
        <w:rPr>
          <w:rFonts w:asciiTheme="majorBidi" w:hAnsiTheme="majorBidi" w:cstheme="majorBidi"/>
          <w:lang w:val="fr-FR"/>
        </w:rPr>
        <w:t>. Le modèle de Freundlich de remplissage en multicouche semble décrire la biosorption des deux colorant. Les deux cinétiques obéissent au modèle du pseudo-second ordre et les réactions sont thermodynamiquement spontanées avec une affinité avérée entre l’adsorbant et l’adsorbat.</w:t>
      </w:r>
    </w:p>
    <w:p w:rsidR="002F457D" w:rsidRPr="002F457D" w:rsidRDefault="002F457D" w:rsidP="00781F70">
      <w:pPr>
        <w:pBdr>
          <w:top w:val="single" w:sz="4" w:space="1" w:color="auto"/>
          <w:left w:val="single" w:sz="4" w:space="4" w:color="auto"/>
          <w:bottom w:val="single" w:sz="4" w:space="1" w:color="auto"/>
          <w:right w:val="single" w:sz="4" w:space="4" w:color="auto"/>
        </w:pBdr>
        <w:jc w:val="both"/>
        <w:rPr>
          <w:rFonts w:asciiTheme="majorBidi" w:hAnsiTheme="majorBidi" w:cstheme="majorBidi"/>
          <w:lang w:val="fr-FR"/>
        </w:rPr>
      </w:pPr>
      <w:r w:rsidRPr="002F457D">
        <w:rPr>
          <w:rFonts w:asciiTheme="majorBidi" w:hAnsiTheme="majorBidi" w:cstheme="majorBidi"/>
          <w:lang w:val="fr-FR"/>
        </w:rPr>
        <w:t>Par ailleurs, la photocatalyse a été étudiée dans le but de recommander un traitement, en aval de la biosorption, pour éliminer les concentrations résiduelles à l’équilibre. Le Ba</w:t>
      </w:r>
      <w:r w:rsidRPr="002F457D">
        <w:rPr>
          <w:rFonts w:asciiTheme="majorBidi" w:hAnsiTheme="majorBidi" w:cstheme="majorBidi"/>
          <w:vertAlign w:val="subscript"/>
          <w:lang w:val="fr-FR"/>
        </w:rPr>
        <w:t>2</w:t>
      </w:r>
      <w:r w:rsidRPr="002F457D">
        <w:rPr>
          <w:rFonts w:asciiTheme="majorBidi" w:hAnsiTheme="majorBidi" w:cstheme="majorBidi"/>
          <w:lang w:val="fr-FR"/>
        </w:rPr>
        <w:t>Fe</w:t>
      </w:r>
      <w:r w:rsidRPr="002F457D">
        <w:rPr>
          <w:rFonts w:asciiTheme="majorBidi" w:hAnsiTheme="majorBidi" w:cstheme="majorBidi"/>
          <w:vertAlign w:val="subscript"/>
          <w:lang w:val="fr-FR"/>
        </w:rPr>
        <w:t>2</w:t>
      </w:r>
      <w:r w:rsidRPr="002F457D">
        <w:rPr>
          <w:rFonts w:asciiTheme="majorBidi" w:hAnsiTheme="majorBidi" w:cstheme="majorBidi"/>
          <w:lang w:val="fr-FR"/>
        </w:rPr>
        <w:t>O</w:t>
      </w:r>
      <w:r w:rsidRPr="002F457D">
        <w:rPr>
          <w:rFonts w:asciiTheme="majorBidi" w:hAnsiTheme="majorBidi" w:cstheme="majorBidi"/>
          <w:vertAlign w:val="subscript"/>
          <w:lang w:val="fr-FR"/>
        </w:rPr>
        <w:t>5</w:t>
      </w:r>
      <w:r w:rsidRPr="002F457D">
        <w:rPr>
          <w:rFonts w:asciiTheme="majorBidi" w:hAnsiTheme="majorBidi" w:cstheme="majorBidi"/>
          <w:lang w:val="fr-FR"/>
        </w:rPr>
        <w:t xml:space="preserve">, nouvellement synthétisé, a été testé. Ce semi-conducteur donne de bons résultats avec l’éthyle violet, par irradiation UV, visible et solaire. Il n’est, par contre, efficace avec la Rhodamine que sous forme d’hétérojonction avec </w:t>
      </w:r>
      <w:proofErr w:type="spellStart"/>
      <w:r w:rsidRPr="002F457D">
        <w:rPr>
          <w:rFonts w:asciiTheme="majorBidi" w:hAnsiTheme="majorBidi" w:cstheme="majorBidi"/>
          <w:lang w:val="fr-FR"/>
        </w:rPr>
        <w:t>ZnO</w:t>
      </w:r>
      <w:proofErr w:type="spellEnd"/>
      <w:r w:rsidRPr="002F457D">
        <w:rPr>
          <w:rFonts w:asciiTheme="majorBidi" w:hAnsiTheme="majorBidi" w:cstheme="majorBidi"/>
          <w:lang w:val="fr-FR"/>
        </w:rPr>
        <w:t xml:space="preserve">. Par conséquent, c’est ce deuxième semi-conducteur, le </w:t>
      </w:r>
      <w:proofErr w:type="spellStart"/>
      <w:r w:rsidRPr="002F457D">
        <w:rPr>
          <w:rFonts w:asciiTheme="majorBidi" w:hAnsiTheme="majorBidi" w:cstheme="majorBidi"/>
          <w:lang w:val="fr-FR"/>
        </w:rPr>
        <w:t>ZnO</w:t>
      </w:r>
      <w:proofErr w:type="spellEnd"/>
      <w:r w:rsidRPr="002F457D">
        <w:rPr>
          <w:rFonts w:asciiTheme="majorBidi" w:hAnsiTheme="majorBidi" w:cstheme="majorBidi"/>
          <w:lang w:val="fr-FR"/>
        </w:rPr>
        <w:t>, qui a été retenu pour l’élimination des concentrations résiduelles de la Rhodamine B. Les paramètres opératoires ; Temps d’obscurité, temps de contact, concentration initiale, masse du solide, pH, nature de l’irradiation et hauteur de la lampe ont été optimisés. Par ailleurs, il a été démontré que la cinétique est du premier ordre.</w:t>
      </w:r>
    </w:p>
    <w:p w:rsidR="002F457D" w:rsidRPr="002F457D" w:rsidRDefault="002F457D" w:rsidP="00781F70">
      <w:pPr>
        <w:jc w:val="both"/>
        <w:rPr>
          <w:rStyle w:val="Accentuation"/>
          <w:rFonts w:asciiTheme="majorBidi" w:hAnsiTheme="majorBidi" w:cstheme="majorBidi"/>
          <w:lang w:val="fr-FR"/>
        </w:rPr>
      </w:pPr>
      <w:r w:rsidRPr="002F457D">
        <w:rPr>
          <w:rStyle w:val="Accentuation"/>
          <w:rFonts w:asciiTheme="majorBidi" w:hAnsiTheme="majorBidi" w:cstheme="majorBidi"/>
          <w:u w:val="single"/>
          <w:lang w:val="fr-FR"/>
        </w:rPr>
        <w:t>Mots Clés :</w:t>
      </w:r>
      <w:r w:rsidRPr="002F457D">
        <w:rPr>
          <w:rStyle w:val="Accentuation"/>
          <w:rFonts w:asciiTheme="majorBidi" w:hAnsiTheme="majorBidi" w:cstheme="majorBidi"/>
          <w:lang w:val="fr-FR"/>
        </w:rPr>
        <w:t xml:space="preserve"> Biosorbant, biosorption, adsorption de colorant en solution, </w:t>
      </w:r>
      <w:proofErr w:type="spellStart"/>
      <w:r w:rsidRPr="002F457D">
        <w:rPr>
          <w:rStyle w:val="Accentuation"/>
          <w:rFonts w:asciiTheme="majorBidi" w:hAnsiTheme="majorBidi" w:cstheme="majorBidi"/>
          <w:lang w:val="fr-FR"/>
        </w:rPr>
        <w:t>Pistacia</w:t>
      </w:r>
      <w:proofErr w:type="spellEnd"/>
      <w:r w:rsidRPr="002F457D">
        <w:rPr>
          <w:rStyle w:val="Accentuation"/>
          <w:rFonts w:asciiTheme="majorBidi" w:hAnsiTheme="majorBidi" w:cstheme="majorBidi"/>
          <w:lang w:val="fr-FR"/>
        </w:rPr>
        <w:t xml:space="preserve"> </w:t>
      </w:r>
      <w:proofErr w:type="spellStart"/>
      <w:r w:rsidRPr="002F457D">
        <w:rPr>
          <w:rStyle w:val="Accentuation"/>
          <w:rFonts w:asciiTheme="majorBidi" w:hAnsiTheme="majorBidi" w:cstheme="majorBidi"/>
          <w:lang w:val="fr-FR"/>
        </w:rPr>
        <w:t>Lentiscus</w:t>
      </w:r>
      <w:proofErr w:type="spellEnd"/>
      <w:r w:rsidRPr="002F457D">
        <w:rPr>
          <w:rStyle w:val="Accentuation"/>
          <w:rFonts w:asciiTheme="majorBidi" w:hAnsiTheme="majorBidi" w:cstheme="majorBidi"/>
          <w:lang w:val="fr-FR"/>
        </w:rPr>
        <w:t>, Lentisque, Photocatalyse, Rhodamine B, Ethyle violet.</w:t>
      </w:r>
    </w:p>
    <w:bookmarkEnd w:id="1"/>
    <w:p w:rsidR="002F457D" w:rsidRPr="002F457D" w:rsidRDefault="002F457D" w:rsidP="002F457D">
      <w:pPr>
        <w:rPr>
          <w:rFonts w:asciiTheme="majorBidi" w:hAnsiTheme="majorBidi" w:cstheme="majorBidi"/>
          <w:lang w:val="fr-FR"/>
        </w:rPr>
      </w:pPr>
    </w:p>
    <w:p w:rsidR="002F457D" w:rsidRDefault="002F457D" w:rsidP="002F457D">
      <w:pPr>
        <w:bidi/>
        <w:jc w:val="both"/>
        <w:rPr>
          <w:rtl/>
          <w:lang w:val="fr-FR" w:bidi="ar-EG"/>
        </w:rPr>
      </w:pPr>
    </w:p>
    <w:p w:rsidR="002F457D" w:rsidRDefault="002F457D" w:rsidP="002F457D">
      <w:pPr>
        <w:bidi/>
        <w:jc w:val="both"/>
        <w:rPr>
          <w:rtl/>
          <w:lang w:val="fr-FR" w:bidi="ar-EG"/>
        </w:rPr>
      </w:pPr>
    </w:p>
    <w:p w:rsidR="002F457D" w:rsidRDefault="002F457D" w:rsidP="002F457D">
      <w:pPr>
        <w:bidi/>
        <w:jc w:val="both"/>
        <w:rPr>
          <w:rtl/>
          <w:lang w:val="fr-FR" w:bidi="ar-EG"/>
        </w:rPr>
      </w:pPr>
    </w:p>
    <w:p w:rsidR="002F457D" w:rsidRDefault="002F457D" w:rsidP="002F457D">
      <w:pPr>
        <w:bidi/>
        <w:jc w:val="both"/>
        <w:rPr>
          <w:rtl/>
          <w:lang w:val="fr-FR" w:bidi="ar-EG"/>
        </w:rPr>
      </w:pPr>
    </w:p>
    <w:p w:rsidR="002F457D" w:rsidRDefault="002F457D" w:rsidP="002F457D">
      <w:pPr>
        <w:bidi/>
        <w:jc w:val="both"/>
        <w:rPr>
          <w:rtl/>
          <w:lang w:val="fr-FR" w:bidi="ar-EG"/>
        </w:rPr>
      </w:pPr>
    </w:p>
    <w:p w:rsidR="002F457D" w:rsidRPr="00687430" w:rsidRDefault="002F457D" w:rsidP="002F457D">
      <w:pPr>
        <w:pStyle w:val="Titre1"/>
        <w:jc w:val="center"/>
      </w:pPr>
      <w:r w:rsidRPr="00687430">
        <w:lastRenderedPageBreak/>
        <w:t xml:space="preserve">Study of dye removal from aqueous solution by biosorption on mastic tree leaves followed by a heterogeneous </w:t>
      </w:r>
      <w:proofErr w:type="spellStart"/>
      <w:r w:rsidRPr="00687430">
        <w:t>photocatalysis</w:t>
      </w:r>
      <w:proofErr w:type="spellEnd"/>
    </w:p>
    <w:p w:rsidR="002F457D" w:rsidRDefault="002F457D" w:rsidP="002F457D">
      <w:pPr>
        <w:pStyle w:val="Titre2"/>
      </w:pPr>
      <w:r>
        <w:t>Abstract:</w:t>
      </w:r>
    </w:p>
    <w:p w:rsidR="002F457D" w:rsidRDefault="002F457D" w:rsidP="002F457D">
      <w:pPr>
        <w:pBdr>
          <w:top w:val="single" w:sz="4" w:space="1" w:color="auto"/>
          <w:left w:val="single" w:sz="4" w:space="4" w:color="auto"/>
          <w:bottom w:val="single" w:sz="4" w:space="1"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The study we carried out enabled us to confirm the potential use of mastic tree leaves – a tree widely spread in the Mediterranean region – in </w:t>
      </w:r>
      <w:proofErr w:type="spellStart"/>
      <w:r>
        <w:rPr>
          <w:rFonts w:asciiTheme="majorBidi" w:hAnsiTheme="majorBidi" w:cstheme="majorBidi"/>
          <w:sz w:val="24"/>
          <w:szCs w:val="24"/>
        </w:rPr>
        <w:t>Rhodamine</w:t>
      </w:r>
      <w:proofErr w:type="spellEnd"/>
      <w:r>
        <w:rPr>
          <w:rFonts w:asciiTheme="majorBidi" w:hAnsiTheme="majorBidi" w:cstheme="majorBidi"/>
          <w:sz w:val="24"/>
          <w:szCs w:val="24"/>
        </w:rPr>
        <w:t xml:space="preserve"> B and Ethyl Violet removal from aqueous solution by biosorption. Biosorbant physical characterization by Scanning Electronic Microscope (SEM), by Laser Diffraction, and BET method ascertained an interesting porosity for such application. On the other hand, chemical characterization of the material was conducted by determining the pH of zero point charge as well as the surface functional groups by Boehm method and FTIR analysis. The results obtained revealed that the surface of the biosorbant is slightly acid with a predominance of phenolic groups. Effects of different parameters were optimized, such as contact time, dye initial concentration, biosorbant dose, initial pH, temperature and ionic strength. Both dyes showed a similar isotherm profile corresponding to the L – type according to IUPAC and to the II-type according to </w:t>
      </w:r>
      <w:proofErr w:type="spellStart"/>
      <w:r>
        <w:rPr>
          <w:rFonts w:asciiTheme="majorBidi" w:hAnsiTheme="majorBidi" w:cstheme="majorBidi"/>
          <w:sz w:val="24"/>
          <w:szCs w:val="24"/>
        </w:rPr>
        <w:t>Brunauer</w:t>
      </w:r>
      <w:proofErr w:type="spellEnd"/>
      <w:r>
        <w:rPr>
          <w:rFonts w:asciiTheme="majorBidi" w:hAnsiTheme="majorBidi" w:cstheme="majorBidi"/>
          <w:sz w:val="24"/>
          <w:szCs w:val="24"/>
        </w:rPr>
        <w:t xml:space="preserve"> et al classification. The multilayers </w:t>
      </w:r>
      <w:proofErr w:type="spellStart"/>
      <w:r>
        <w:rPr>
          <w:rFonts w:asciiTheme="majorBidi" w:hAnsiTheme="majorBidi" w:cstheme="majorBidi"/>
          <w:sz w:val="24"/>
          <w:szCs w:val="24"/>
        </w:rPr>
        <w:t>Freundlich</w:t>
      </w:r>
      <w:proofErr w:type="spellEnd"/>
      <w:r>
        <w:rPr>
          <w:rFonts w:asciiTheme="majorBidi" w:hAnsiTheme="majorBidi" w:cstheme="majorBidi"/>
          <w:sz w:val="24"/>
          <w:szCs w:val="24"/>
        </w:rPr>
        <w:t xml:space="preserve"> model seems to better describe the biosorption of both dyes. The kinetic follows the pseudo-second order and both reactions are thermodynamically spontaneous with a noticed affinity between biosorbant and dyes.</w:t>
      </w:r>
    </w:p>
    <w:p w:rsidR="002F457D" w:rsidRDefault="002F457D" w:rsidP="002F457D">
      <w:pPr>
        <w:pBdr>
          <w:top w:val="single" w:sz="4" w:space="1" w:color="auto"/>
          <w:left w:val="single" w:sz="4" w:space="4" w:color="auto"/>
          <w:bottom w:val="single" w:sz="4" w:space="1"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Therefore, a </w:t>
      </w:r>
      <w:proofErr w:type="spellStart"/>
      <w:r>
        <w:rPr>
          <w:rFonts w:asciiTheme="majorBidi" w:hAnsiTheme="majorBidi" w:cstheme="majorBidi"/>
          <w:sz w:val="24"/>
          <w:szCs w:val="24"/>
        </w:rPr>
        <w:t>photocatalysis</w:t>
      </w:r>
      <w:proofErr w:type="spellEnd"/>
      <w:r>
        <w:rPr>
          <w:rFonts w:asciiTheme="majorBidi" w:hAnsiTheme="majorBidi" w:cstheme="majorBidi"/>
          <w:sz w:val="24"/>
          <w:szCs w:val="24"/>
        </w:rPr>
        <w:t xml:space="preserve"> process was explored as an ultimate treatment for the dye residual concentration downstream the biosorption. Ba</w:t>
      </w:r>
      <w:r w:rsidRPr="00F41A62">
        <w:rPr>
          <w:rFonts w:asciiTheme="majorBidi" w:hAnsiTheme="majorBidi" w:cstheme="majorBidi"/>
          <w:sz w:val="24"/>
          <w:szCs w:val="24"/>
          <w:vertAlign w:val="subscript"/>
        </w:rPr>
        <w:t>2</w:t>
      </w:r>
      <w:r>
        <w:rPr>
          <w:rFonts w:asciiTheme="majorBidi" w:hAnsiTheme="majorBidi" w:cstheme="majorBidi"/>
          <w:sz w:val="24"/>
          <w:szCs w:val="24"/>
        </w:rPr>
        <w:t>Fe</w:t>
      </w:r>
      <w:r w:rsidRPr="00F41A62">
        <w:rPr>
          <w:rFonts w:asciiTheme="majorBidi" w:hAnsiTheme="majorBidi" w:cstheme="majorBidi"/>
          <w:sz w:val="24"/>
          <w:szCs w:val="24"/>
          <w:vertAlign w:val="subscript"/>
        </w:rPr>
        <w:t>2</w:t>
      </w:r>
      <w:r>
        <w:rPr>
          <w:rFonts w:asciiTheme="majorBidi" w:hAnsiTheme="majorBidi" w:cstheme="majorBidi"/>
          <w:sz w:val="24"/>
          <w:szCs w:val="24"/>
        </w:rPr>
        <w:t>O</w:t>
      </w:r>
      <w:r w:rsidRPr="00F41A62">
        <w:rPr>
          <w:rFonts w:asciiTheme="majorBidi" w:hAnsiTheme="majorBidi" w:cstheme="majorBidi"/>
          <w:sz w:val="24"/>
          <w:szCs w:val="24"/>
          <w:vertAlign w:val="subscript"/>
        </w:rPr>
        <w:t>5</w:t>
      </w:r>
      <w:r>
        <w:rPr>
          <w:rFonts w:asciiTheme="majorBidi" w:hAnsiTheme="majorBidi" w:cstheme="majorBidi"/>
          <w:sz w:val="24"/>
          <w:szCs w:val="24"/>
        </w:rPr>
        <w:t xml:space="preserve">, newly synthesized, was tested. This semi-conductor gives a good removal rate with Ethyl violet, under UV, visible and sunlight irradiation. However, it does not give the same good result with </w:t>
      </w:r>
      <w:proofErr w:type="spellStart"/>
      <w:r>
        <w:rPr>
          <w:rFonts w:asciiTheme="majorBidi" w:hAnsiTheme="majorBidi" w:cstheme="majorBidi"/>
          <w:sz w:val="24"/>
          <w:szCs w:val="24"/>
        </w:rPr>
        <w:t>Rhodamine</w:t>
      </w:r>
      <w:proofErr w:type="spellEnd"/>
      <w:r>
        <w:rPr>
          <w:rFonts w:asciiTheme="majorBidi" w:hAnsiTheme="majorBidi" w:cstheme="majorBidi"/>
          <w:sz w:val="24"/>
          <w:szCs w:val="24"/>
        </w:rPr>
        <w:t xml:space="preserve"> B unless used in hetero-junction with </w:t>
      </w:r>
      <w:proofErr w:type="spellStart"/>
      <w:r>
        <w:rPr>
          <w:rFonts w:asciiTheme="majorBidi" w:hAnsiTheme="majorBidi" w:cstheme="majorBidi"/>
          <w:sz w:val="24"/>
          <w:szCs w:val="24"/>
        </w:rPr>
        <w:t>ZnO</w:t>
      </w:r>
      <w:proofErr w:type="spellEnd"/>
      <w:r>
        <w:rPr>
          <w:rFonts w:asciiTheme="majorBidi" w:hAnsiTheme="majorBidi" w:cstheme="majorBidi"/>
          <w:sz w:val="24"/>
          <w:szCs w:val="24"/>
        </w:rPr>
        <w:t xml:space="preserve">. Thus, we opted for </w:t>
      </w:r>
      <w:proofErr w:type="spellStart"/>
      <w:r>
        <w:rPr>
          <w:rFonts w:asciiTheme="majorBidi" w:hAnsiTheme="majorBidi" w:cstheme="majorBidi"/>
          <w:sz w:val="24"/>
          <w:szCs w:val="24"/>
        </w:rPr>
        <w:t>ZnO</w:t>
      </w:r>
      <w:proofErr w:type="spellEnd"/>
      <w:r>
        <w:rPr>
          <w:rFonts w:asciiTheme="majorBidi" w:hAnsiTheme="majorBidi" w:cstheme="majorBidi"/>
          <w:sz w:val="24"/>
          <w:szCs w:val="24"/>
        </w:rPr>
        <w:t xml:space="preserve"> as a </w:t>
      </w:r>
      <w:proofErr w:type="spellStart"/>
      <w:r>
        <w:rPr>
          <w:rFonts w:asciiTheme="majorBidi" w:hAnsiTheme="majorBidi" w:cstheme="majorBidi"/>
          <w:sz w:val="24"/>
          <w:szCs w:val="24"/>
        </w:rPr>
        <w:t>photocatalyst</w:t>
      </w:r>
      <w:proofErr w:type="spellEnd"/>
      <w:r>
        <w:rPr>
          <w:rFonts w:asciiTheme="majorBidi" w:hAnsiTheme="majorBidi" w:cstheme="majorBidi"/>
          <w:sz w:val="24"/>
          <w:szCs w:val="24"/>
        </w:rPr>
        <w:t xml:space="preserve"> for </w:t>
      </w:r>
      <w:proofErr w:type="spellStart"/>
      <w:r>
        <w:rPr>
          <w:rFonts w:asciiTheme="majorBidi" w:hAnsiTheme="majorBidi" w:cstheme="majorBidi"/>
          <w:sz w:val="24"/>
          <w:szCs w:val="24"/>
        </w:rPr>
        <w:t>Rhodamine</w:t>
      </w:r>
      <w:proofErr w:type="spellEnd"/>
      <w:r>
        <w:rPr>
          <w:rFonts w:asciiTheme="majorBidi" w:hAnsiTheme="majorBidi" w:cstheme="majorBidi"/>
          <w:sz w:val="24"/>
          <w:szCs w:val="24"/>
        </w:rPr>
        <w:t xml:space="preserve"> B residual concentration removal. Then, different parameters substantially affecting the </w:t>
      </w:r>
      <w:proofErr w:type="spellStart"/>
      <w:r>
        <w:rPr>
          <w:rFonts w:asciiTheme="majorBidi" w:hAnsiTheme="majorBidi" w:cstheme="majorBidi"/>
          <w:sz w:val="24"/>
          <w:szCs w:val="24"/>
        </w:rPr>
        <w:t>photocatalysis</w:t>
      </w:r>
      <w:proofErr w:type="spellEnd"/>
      <w:r>
        <w:rPr>
          <w:rFonts w:asciiTheme="majorBidi" w:hAnsiTheme="majorBidi" w:cstheme="majorBidi"/>
          <w:sz w:val="24"/>
          <w:szCs w:val="24"/>
        </w:rPr>
        <w:t xml:space="preserve"> reaction were studied; such as “darkness duration”, contact time, initial concentration, semi-conductor dose, solution initial pH, nature of the light and height of the source. Hence, it was demonstrated that the reaction follows a first order kinetic.</w:t>
      </w:r>
    </w:p>
    <w:p w:rsidR="002F457D" w:rsidRPr="00D37369" w:rsidRDefault="002F457D" w:rsidP="002F457D">
      <w:pPr>
        <w:rPr>
          <w:rStyle w:val="Accentuation"/>
          <w:rFonts w:asciiTheme="majorBidi" w:hAnsiTheme="majorBidi" w:cstheme="majorBidi"/>
        </w:rPr>
      </w:pPr>
      <w:r w:rsidRPr="00D37369">
        <w:rPr>
          <w:rStyle w:val="Accentuation"/>
          <w:rFonts w:asciiTheme="majorBidi" w:hAnsiTheme="majorBidi" w:cstheme="majorBidi"/>
          <w:u w:val="single"/>
        </w:rPr>
        <w:t xml:space="preserve">Key </w:t>
      </w:r>
      <w:proofErr w:type="gramStart"/>
      <w:r w:rsidRPr="00D37369">
        <w:rPr>
          <w:rStyle w:val="Accentuation"/>
          <w:rFonts w:asciiTheme="majorBidi" w:hAnsiTheme="majorBidi" w:cstheme="majorBidi"/>
          <w:u w:val="single"/>
        </w:rPr>
        <w:t>Words :</w:t>
      </w:r>
      <w:proofErr w:type="gramEnd"/>
      <w:r>
        <w:rPr>
          <w:rStyle w:val="Accentuation"/>
          <w:rFonts w:asciiTheme="majorBidi" w:hAnsiTheme="majorBidi" w:cstheme="majorBidi"/>
        </w:rPr>
        <w:t xml:space="preserve"> Biosorba</w:t>
      </w:r>
      <w:r w:rsidRPr="00D37369">
        <w:rPr>
          <w:rStyle w:val="Accentuation"/>
          <w:rFonts w:asciiTheme="majorBidi" w:hAnsiTheme="majorBidi" w:cstheme="majorBidi"/>
        </w:rPr>
        <w:t xml:space="preserve">nt, </w:t>
      </w:r>
      <w:r>
        <w:rPr>
          <w:rStyle w:val="Accentuation"/>
          <w:rFonts w:asciiTheme="majorBidi" w:hAnsiTheme="majorBidi" w:cstheme="majorBidi"/>
        </w:rPr>
        <w:t xml:space="preserve">biosorption, </w:t>
      </w:r>
      <w:r w:rsidRPr="00D37369">
        <w:rPr>
          <w:rStyle w:val="Accentuation"/>
          <w:rFonts w:asciiTheme="majorBidi" w:hAnsiTheme="majorBidi" w:cstheme="majorBidi"/>
        </w:rPr>
        <w:t xml:space="preserve">dye adsorption in solution, </w:t>
      </w:r>
      <w:proofErr w:type="spellStart"/>
      <w:r w:rsidRPr="00D37369">
        <w:rPr>
          <w:rStyle w:val="Accentuation"/>
          <w:rFonts w:asciiTheme="majorBidi" w:hAnsiTheme="majorBidi" w:cstheme="majorBidi"/>
        </w:rPr>
        <w:t>Pistacia</w:t>
      </w:r>
      <w:proofErr w:type="spellEnd"/>
      <w:r w:rsidRPr="00D37369">
        <w:rPr>
          <w:rStyle w:val="Accentuation"/>
          <w:rFonts w:asciiTheme="majorBidi" w:hAnsiTheme="majorBidi" w:cstheme="majorBidi"/>
        </w:rPr>
        <w:t xml:space="preserve"> </w:t>
      </w:r>
      <w:proofErr w:type="spellStart"/>
      <w:r w:rsidRPr="00D37369">
        <w:rPr>
          <w:rStyle w:val="Accentuation"/>
          <w:rFonts w:asciiTheme="majorBidi" w:hAnsiTheme="majorBidi" w:cstheme="majorBidi"/>
        </w:rPr>
        <w:t>Lentiscus</w:t>
      </w:r>
      <w:proofErr w:type="spellEnd"/>
      <w:r w:rsidRPr="00D37369">
        <w:rPr>
          <w:rStyle w:val="Accentuation"/>
          <w:rFonts w:asciiTheme="majorBidi" w:hAnsiTheme="majorBidi" w:cstheme="majorBidi"/>
        </w:rPr>
        <w:t xml:space="preserve">, Mastic tree, </w:t>
      </w:r>
      <w:proofErr w:type="spellStart"/>
      <w:r w:rsidRPr="00D37369">
        <w:rPr>
          <w:rStyle w:val="Accentuation"/>
          <w:rFonts w:asciiTheme="majorBidi" w:hAnsiTheme="majorBidi" w:cstheme="majorBidi"/>
        </w:rPr>
        <w:t>Photocatalysis</w:t>
      </w:r>
      <w:proofErr w:type="spellEnd"/>
      <w:r w:rsidRPr="00D37369">
        <w:rPr>
          <w:rStyle w:val="Accentuation"/>
          <w:rFonts w:asciiTheme="majorBidi" w:hAnsiTheme="majorBidi" w:cstheme="majorBidi"/>
        </w:rPr>
        <w:t xml:space="preserve">, </w:t>
      </w:r>
      <w:proofErr w:type="spellStart"/>
      <w:r w:rsidRPr="00D37369">
        <w:rPr>
          <w:rStyle w:val="Accentuation"/>
          <w:rFonts w:asciiTheme="majorBidi" w:hAnsiTheme="majorBidi" w:cstheme="majorBidi"/>
        </w:rPr>
        <w:t>Rhodamine</w:t>
      </w:r>
      <w:proofErr w:type="spellEnd"/>
      <w:r w:rsidRPr="00D37369">
        <w:rPr>
          <w:rStyle w:val="Accentuation"/>
          <w:rFonts w:asciiTheme="majorBidi" w:hAnsiTheme="majorBidi" w:cstheme="majorBidi"/>
        </w:rPr>
        <w:t xml:space="preserve"> B, Ethyl Violet.</w:t>
      </w:r>
    </w:p>
    <w:p w:rsidR="002F457D" w:rsidRPr="00BF7B5C" w:rsidRDefault="002F457D" w:rsidP="002F457D">
      <w:pPr>
        <w:jc w:val="both"/>
        <w:rPr>
          <w:rFonts w:asciiTheme="majorBidi" w:hAnsiTheme="majorBidi" w:cstheme="majorBidi"/>
          <w:sz w:val="24"/>
          <w:szCs w:val="24"/>
        </w:rPr>
      </w:pPr>
    </w:p>
    <w:p w:rsidR="002F457D" w:rsidRPr="002F457D" w:rsidRDefault="002F457D" w:rsidP="002F457D">
      <w:pPr>
        <w:bidi/>
        <w:jc w:val="both"/>
        <w:rPr>
          <w:rtl/>
          <w:lang w:bidi="ar-EG"/>
        </w:rPr>
      </w:pPr>
    </w:p>
    <w:sectPr w:rsidR="002F457D" w:rsidRPr="002F457D" w:rsidSect="002F457D">
      <w:footerReference w:type="default" r:id="rId7"/>
      <w:pgSz w:w="12240" w:h="15840"/>
      <w:pgMar w:top="1440" w:right="1800" w:bottom="1440" w:left="1800" w:header="708" w:footer="708" w:gutter="0"/>
      <w:pgNumType w:fmt="lowerRoman"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0946" w:rsidRDefault="00380946" w:rsidP="002F457D">
      <w:pPr>
        <w:spacing w:after="0" w:line="240" w:lineRule="auto"/>
      </w:pPr>
      <w:r>
        <w:separator/>
      </w:r>
    </w:p>
  </w:endnote>
  <w:endnote w:type="continuationSeparator" w:id="0">
    <w:p w:rsidR="00380946" w:rsidRDefault="00380946" w:rsidP="002F45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215591"/>
      <w:docPartObj>
        <w:docPartGallery w:val="Page Numbers (Bottom of Page)"/>
        <w:docPartUnique/>
      </w:docPartObj>
    </w:sdtPr>
    <w:sdtEndPr>
      <w:rPr>
        <w:noProof/>
      </w:rPr>
    </w:sdtEndPr>
    <w:sdtContent>
      <w:p w:rsidR="002F457D" w:rsidRDefault="002F457D">
        <w:pPr>
          <w:pStyle w:val="Pieddepage"/>
          <w:jc w:val="right"/>
        </w:pPr>
        <w:r>
          <w:fldChar w:fldCharType="begin"/>
        </w:r>
        <w:r>
          <w:instrText xml:space="preserve"> PAGE   \* MERGEFORMAT </w:instrText>
        </w:r>
        <w:r>
          <w:fldChar w:fldCharType="separate"/>
        </w:r>
        <w:r w:rsidR="00781F70">
          <w:rPr>
            <w:noProof/>
          </w:rPr>
          <w:t>iii</w:t>
        </w:r>
        <w:r>
          <w:rPr>
            <w:noProof/>
          </w:rPr>
          <w:fldChar w:fldCharType="end"/>
        </w:r>
      </w:p>
    </w:sdtContent>
  </w:sdt>
  <w:p w:rsidR="002F457D" w:rsidRDefault="002F457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0946" w:rsidRDefault="00380946" w:rsidP="002F457D">
      <w:pPr>
        <w:spacing w:after="0" w:line="240" w:lineRule="auto"/>
      </w:pPr>
      <w:r>
        <w:separator/>
      </w:r>
    </w:p>
  </w:footnote>
  <w:footnote w:type="continuationSeparator" w:id="0">
    <w:p w:rsidR="00380946" w:rsidRDefault="00380946" w:rsidP="002F457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BC8"/>
    <w:rsid w:val="00003F09"/>
    <w:rsid w:val="00005EE5"/>
    <w:rsid w:val="00011542"/>
    <w:rsid w:val="0001200D"/>
    <w:rsid w:val="0001766D"/>
    <w:rsid w:val="0002638A"/>
    <w:rsid w:val="00035F69"/>
    <w:rsid w:val="00043124"/>
    <w:rsid w:val="00057D9E"/>
    <w:rsid w:val="00061F90"/>
    <w:rsid w:val="000673B6"/>
    <w:rsid w:val="000709C0"/>
    <w:rsid w:val="00082D5D"/>
    <w:rsid w:val="0008315B"/>
    <w:rsid w:val="00097DFC"/>
    <w:rsid w:val="000A006B"/>
    <w:rsid w:val="000B29FC"/>
    <w:rsid w:val="000D336B"/>
    <w:rsid w:val="000D4D74"/>
    <w:rsid w:val="000D59BC"/>
    <w:rsid w:val="000D7C99"/>
    <w:rsid w:val="000E0AA0"/>
    <w:rsid w:val="000E6698"/>
    <w:rsid w:val="000F4ED6"/>
    <w:rsid w:val="001633D9"/>
    <w:rsid w:val="00167D41"/>
    <w:rsid w:val="00172F8D"/>
    <w:rsid w:val="00185695"/>
    <w:rsid w:val="001A45EC"/>
    <w:rsid w:val="001A6078"/>
    <w:rsid w:val="001B320F"/>
    <w:rsid w:val="001B6FCD"/>
    <w:rsid w:val="001D0DF6"/>
    <w:rsid w:val="001E0F65"/>
    <w:rsid w:val="001E4328"/>
    <w:rsid w:val="001E65F7"/>
    <w:rsid w:val="001F0EE4"/>
    <w:rsid w:val="001F17E3"/>
    <w:rsid w:val="001F29AB"/>
    <w:rsid w:val="00201D71"/>
    <w:rsid w:val="00211E2E"/>
    <w:rsid w:val="002131E0"/>
    <w:rsid w:val="002148BD"/>
    <w:rsid w:val="00220060"/>
    <w:rsid w:val="0022796C"/>
    <w:rsid w:val="002406C0"/>
    <w:rsid w:val="002416AF"/>
    <w:rsid w:val="00243E57"/>
    <w:rsid w:val="00245701"/>
    <w:rsid w:val="002462A4"/>
    <w:rsid w:val="00267B5B"/>
    <w:rsid w:val="002829FC"/>
    <w:rsid w:val="002A5D4A"/>
    <w:rsid w:val="002B0C71"/>
    <w:rsid w:val="002B49DC"/>
    <w:rsid w:val="002C10C9"/>
    <w:rsid w:val="002C3909"/>
    <w:rsid w:val="002E199D"/>
    <w:rsid w:val="002E4F69"/>
    <w:rsid w:val="002E64EA"/>
    <w:rsid w:val="002E7B10"/>
    <w:rsid w:val="002F0B50"/>
    <w:rsid w:val="002F404E"/>
    <w:rsid w:val="002F457D"/>
    <w:rsid w:val="002F7127"/>
    <w:rsid w:val="00302B64"/>
    <w:rsid w:val="0030738E"/>
    <w:rsid w:val="003109A5"/>
    <w:rsid w:val="00347A37"/>
    <w:rsid w:val="00352EA2"/>
    <w:rsid w:val="003560E2"/>
    <w:rsid w:val="00361781"/>
    <w:rsid w:val="00380946"/>
    <w:rsid w:val="00387753"/>
    <w:rsid w:val="003937A2"/>
    <w:rsid w:val="0039547C"/>
    <w:rsid w:val="003977E2"/>
    <w:rsid w:val="003A5804"/>
    <w:rsid w:val="003A6EC2"/>
    <w:rsid w:val="003C5D10"/>
    <w:rsid w:val="003E60B3"/>
    <w:rsid w:val="003F056E"/>
    <w:rsid w:val="003F7698"/>
    <w:rsid w:val="004052F9"/>
    <w:rsid w:val="00415993"/>
    <w:rsid w:val="00426A05"/>
    <w:rsid w:val="004401D9"/>
    <w:rsid w:val="00451655"/>
    <w:rsid w:val="0045795C"/>
    <w:rsid w:val="0046736C"/>
    <w:rsid w:val="00470966"/>
    <w:rsid w:val="00476D8C"/>
    <w:rsid w:val="00486DC2"/>
    <w:rsid w:val="0048755C"/>
    <w:rsid w:val="004A44F9"/>
    <w:rsid w:val="004A5D1F"/>
    <w:rsid w:val="004A5F7E"/>
    <w:rsid w:val="004B1231"/>
    <w:rsid w:val="004D3567"/>
    <w:rsid w:val="004E729C"/>
    <w:rsid w:val="004F39A9"/>
    <w:rsid w:val="00515CDE"/>
    <w:rsid w:val="00526924"/>
    <w:rsid w:val="0055680D"/>
    <w:rsid w:val="0055696E"/>
    <w:rsid w:val="00581C83"/>
    <w:rsid w:val="005849F3"/>
    <w:rsid w:val="005871BF"/>
    <w:rsid w:val="00591D58"/>
    <w:rsid w:val="005B25D2"/>
    <w:rsid w:val="005B3BFF"/>
    <w:rsid w:val="005B54C6"/>
    <w:rsid w:val="005C3756"/>
    <w:rsid w:val="005C72A5"/>
    <w:rsid w:val="005D07D3"/>
    <w:rsid w:val="005D69F5"/>
    <w:rsid w:val="005D7140"/>
    <w:rsid w:val="005F1E39"/>
    <w:rsid w:val="005F63E0"/>
    <w:rsid w:val="00601929"/>
    <w:rsid w:val="0061138D"/>
    <w:rsid w:val="00626F49"/>
    <w:rsid w:val="00631972"/>
    <w:rsid w:val="00636FA9"/>
    <w:rsid w:val="006416CC"/>
    <w:rsid w:val="00651198"/>
    <w:rsid w:val="00652630"/>
    <w:rsid w:val="00654A93"/>
    <w:rsid w:val="0066077D"/>
    <w:rsid w:val="00695A06"/>
    <w:rsid w:val="006A1A0D"/>
    <w:rsid w:val="006A3A4A"/>
    <w:rsid w:val="006C0951"/>
    <w:rsid w:val="006C3620"/>
    <w:rsid w:val="006C383F"/>
    <w:rsid w:val="006D0457"/>
    <w:rsid w:val="006D0F19"/>
    <w:rsid w:val="006D379F"/>
    <w:rsid w:val="006D6E58"/>
    <w:rsid w:val="00701BC8"/>
    <w:rsid w:val="007215D2"/>
    <w:rsid w:val="00730173"/>
    <w:rsid w:val="00770868"/>
    <w:rsid w:val="00781F70"/>
    <w:rsid w:val="007A7647"/>
    <w:rsid w:val="007B6313"/>
    <w:rsid w:val="007C543C"/>
    <w:rsid w:val="007D1C4F"/>
    <w:rsid w:val="00824238"/>
    <w:rsid w:val="00833D1A"/>
    <w:rsid w:val="00853428"/>
    <w:rsid w:val="00853550"/>
    <w:rsid w:val="00856978"/>
    <w:rsid w:val="00877672"/>
    <w:rsid w:val="008919EE"/>
    <w:rsid w:val="008A1CF6"/>
    <w:rsid w:val="008A3D05"/>
    <w:rsid w:val="008B6D2C"/>
    <w:rsid w:val="008C5970"/>
    <w:rsid w:val="008D7C47"/>
    <w:rsid w:val="008F2C3B"/>
    <w:rsid w:val="00912EE5"/>
    <w:rsid w:val="009131C8"/>
    <w:rsid w:val="00917CBB"/>
    <w:rsid w:val="00921E54"/>
    <w:rsid w:val="00924412"/>
    <w:rsid w:val="0093147F"/>
    <w:rsid w:val="00944779"/>
    <w:rsid w:val="00951153"/>
    <w:rsid w:val="00961B4E"/>
    <w:rsid w:val="00997541"/>
    <w:rsid w:val="009A6917"/>
    <w:rsid w:val="009B3BB9"/>
    <w:rsid w:val="009B709E"/>
    <w:rsid w:val="009D1E7F"/>
    <w:rsid w:val="009D2DD5"/>
    <w:rsid w:val="009D4846"/>
    <w:rsid w:val="009E6423"/>
    <w:rsid w:val="00A058D7"/>
    <w:rsid w:val="00A06AAC"/>
    <w:rsid w:val="00A324B0"/>
    <w:rsid w:val="00A36B6A"/>
    <w:rsid w:val="00A36FE1"/>
    <w:rsid w:val="00A40D04"/>
    <w:rsid w:val="00A43644"/>
    <w:rsid w:val="00A532B2"/>
    <w:rsid w:val="00A6485E"/>
    <w:rsid w:val="00A65AA2"/>
    <w:rsid w:val="00A753C3"/>
    <w:rsid w:val="00A763C7"/>
    <w:rsid w:val="00A76E8C"/>
    <w:rsid w:val="00A84699"/>
    <w:rsid w:val="00A848A7"/>
    <w:rsid w:val="00A93AF4"/>
    <w:rsid w:val="00A97616"/>
    <w:rsid w:val="00AA4367"/>
    <w:rsid w:val="00AC34A2"/>
    <w:rsid w:val="00AE38D0"/>
    <w:rsid w:val="00AE3F1E"/>
    <w:rsid w:val="00AF3321"/>
    <w:rsid w:val="00B04963"/>
    <w:rsid w:val="00B1588C"/>
    <w:rsid w:val="00B27AD4"/>
    <w:rsid w:val="00B310DB"/>
    <w:rsid w:val="00B32AE8"/>
    <w:rsid w:val="00B532E1"/>
    <w:rsid w:val="00B57E2B"/>
    <w:rsid w:val="00B67528"/>
    <w:rsid w:val="00B75840"/>
    <w:rsid w:val="00B766B2"/>
    <w:rsid w:val="00B87036"/>
    <w:rsid w:val="00B915A7"/>
    <w:rsid w:val="00B92298"/>
    <w:rsid w:val="00B92334"/>
    <w:rsid w:val="00B939D5"/>
    <w:rsid w:val="00BA74C3"/>
    <w:rsid w:val="00BA7D5F"/>
    <w:rsid w:val="00BB1539"/>
    <w:rsid w:val="00BC1A46"/>
    <w:rsid w:val="00BD2160"/>
    <w:rsid w:val="00BE0C42"/>
    <w:rsid w:val="00BE60F6"/>
    <w:rsid w:val="00BF62FC"/>
    <w:rsid w:val="00C00F70"/>
    <w:rsid w:val="00C23689"/>
    <w:rsid w:val="00C240C7"/>
    <w:rsid w:val="00C30CE7"/>
    <w:rsid w:val="00C4130B"/>
    <w:rsid w:val="00C5222E"/>
    <w:rsid w:val="00C57AF9"/>
    <w:rsid w:val="00C71368"/>
    <w:rsid w:val="00C83513"/>
    <w:rsid w:val="00CA1FE1"/>
    <w:rsid w:val="00CA60E8"/>
    <w:rsid w:val="00CB1B72"/>
    <w:rsid w:val="00CB56E5"/>
    <w:rsid w:val="00CC75DD"/>
    <w:rsid w:val="00CD45D0"/>
    <w:rsid w:val="00CD5E60"/>
    <w:rsid w:val="00CD79BB"/>
    <w:rsid w:val="00D300C8"/>
    <w:rsid w:val="00D32F59"/>
    <w:rsid w:val="00D405F0"/>
    <w:rsid w:val="00D53F2C"/>
    <w:rsid w:val="00D55CB5"/>
    <w:rsid w:val="00D60734"/>
    <w:rsid w:val="00D66CB8"/>
    <w:rsid w:val="00D73FA1"/>
    <w:rsid w:val="00D744C8"/>
    <w:rsid w:val="00D81F32"/>
    <w:rsid w:val="00DA62F7"/>
    <w:rsid w:val="00DB664B"/>
    <w:rsid w:val="00DF2D4D"/>
    <w:rsid w:val="00E00BD7"/>
    <w:rsid w:val="00E055EF"/>
    <w:rsid w:val="00E06359"/>
    <w:rsid w:val="00E2253B"/>
    <w:rsid w:val="00E246DF"/>
    <w:rsid w:val="00E30CDD"/>
    <w:rsid w:val="00E32EB5"/>
    <w:rsid w:val="00E54328"/>
    <w:rsid w:val="00E60882"/>
    <w:rsid w:val="00E9761D"/>
    <w:rsid w:val="00EA5300"/>
    <w:rsid w:val="00EB0EC9"/>
    <w:rsid w:val="00EB3CD2"/>
    <w:rsid w:val="00EE005F"/>
    <w:rsid w:val="00EF620C"/>
    <w:rsid w:val="00F06456"/>
    <w:rsid w:val="00F068F7"/>
    <w:rsid w:val="00F17BEF"/>
    <w:rsid w:val="00F31752"/>
    <w:rsid w:val="00F339FB"/>
    <w:rsid w:val="00F40BFF"/>
    <w:rsid w:val="00F4705E"/>
    <w:rsid w:val="00F5496E"/>
    <w:rsid w:val="00F663D6"/>
    <w:rsid w:val="00F75C8A"/>
    <w:rsid w:val="00F773A5"/>
    <w:rsid w:val="00F8378E"/>
    <w:rsid w:val="00F83AE3"/>
    <w:rsid w:val="00FA2670"/>
    <w:rsid w:val="00FA6BEF"/>
    <w:rsid w:val="00FC229D"/>
    <w:rsid w:val="00FD4E52"/>
    <w:rsid w:val="00FE30FE"/>
    <w:rsid w:val="00FE5195"/>
    <w:rsid w:val="00FF6B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917C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917C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2F457D"/>
    <w:pPr>
      <w:keepNext/>
      <w:keepLines/>
      <w:spacing w:before="200" w:after="0"/>
      <w:jc w:val="both"/>
      <w:outlineLvl w:val="2"/>
    </w:pPr>
    <w:rPr>
      <w:rFonts w:asciiTheme="majorHAnsi" w:eastAsiaTheme="majorEastAsia" w:hAnsiTheme="majorHAnsi" w:cstheme="majorBidi"/>
      <w:b/>
      <w:bCs/>
      <w:color w:val="4F81BD" w:themeColor="accent1"/>
      <w:sz w:val="24"/>
      <w:szCs w:val="24"/>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917CBB"/>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uiPriority w:val="9"/>
    <w:rsid w:val="00917CBB"/>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2F457D"/>
    <w:rPr>
      <w:rFonts w:asciiTheme="majorHAnsi" w:eastAsiaTheme="majorEastAsia" w:hAnsiTheme="majorHAnsi" w:cstheme="majorBidi"/>
      <w:b/>
      <w:bCs/>
      <w:color w:val="4F81BD" w:themeColor="accent1"/>
      <w:sz w:val="24"/>
      <w:szCs w:val="24"/>
      <w:lang w:val="fr-FR"/>
    </w:rPr>
  </w:style>
  <w:style w:type="character" w:styleId="Accentuation">
    <w:name w:val="Emphasis"/>
    <w:basedOn w:val="Policepardfaut"/>
    <w:uiPriority w:val="20"/>
    <w:qFormat/>
    <w:rsid w:val="002F457D"/>
    <w:rPr>
      <w:i/>
      <w:iCs/>
    </w:rPr>
  </w:style>
  <w:style w:type="paragraph" w:styleId="En-tte">
    <w:name w:val="header"/>
    <w:basedOn w:val="Normal"/>
    <w:link w:val="En-tteCar"/>
    <w:uiPriority w:val="99"/>
    <w:unhideWhenUsed/>
    <w:rsid w:val="002F457D"/>
    <w:pPr>
      <w:tabs>
        <w:tab w:val="center" w:pos="4320"/>
        <w:tab w:val="right" w:pos="8640"/>
      </w:tabs>
      <w:spacing w:after="0" w:line="240" w:lineRule="auto"/>
    </w:pPr>
  </w:style>
  <w:style w:type="character" w:customStyle="1" w:styleId="En-tteCar">
    <w:name w:val="En-tête Car"/>
    <w:basedOn w:val="Policepardfaut"/>
    <w:link w:val="En-tte"/>
    <w:uiPriority w:val="99"/>
    <w:rsid w:val="002F457D"/>
  </w:style>
  <w:style w:type="paragraph" w:styleId="Pieddepage">
    <w:name w:val="footer"/>
    <w:basedOn w:val="Normal"/>
    <w:link w:val="PieddepageCar"/>
    <w:uiPriority w:val="99"/>
    <w:unhideWhenUsed/>
    <w:rsid w:val="002F457D"/>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2F45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917C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917C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2F457D"/>
    <w:pPr>
      <w:keepNext/>
      <w:keepLines/>
      <w:spacing w:before="200" w:after="0"/>
      <w:jc w:val="both"/>
      <w:outlineLvl w:val="2"/>
    </w:pPr>
    <w:rPr>
      <w:rFonts w:asciiTheme="majorHAnsi" w:eastAsiaTheme="majorEastAsia" w:hAnsiTheme="majorHAnsi" w:cstheme="majorBidi"/>
      <w:b/>
      <w:bCs/>
      <w:color w:val="4F81BD" w:themeColor="accent1"/>
      <w:sz w:val="24"/>
      <w:szCs w:val="24"/>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917CBB"/>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uiPriority w:val="9"/>
    <w:rsid w:val="00917CBB"/>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2F457D"/>
    <w:rPr>
      <w:rFonts w:asciiTheme="majorHAnsi" w:eastAsiaTheme="majorEastAsia" w:hAnsiTheme="majorHAnsi" w:cstheme="majorBidi"/>
      <w:b/>
      <w:bCs/>
      <w:color w:val="4F81BD" w:themeColor="accent1"/>
      <w:sz w:val="24"/>
      <w:szCs w:val="24"/>
      <w:lang w:val="fr-FR"/>
    </w:rPr>
  </w:style>
  <w:style w:type="character" w:styleId="Accentuation">
    <w:name w:val="Emphasis"/>
    <w:basedOn w:val="Policepardfaut"/>
    <w:uiPriority w:val="20"/>
    <w:qFormat/>
    <w:rsid w:val="002F457D"/>
    <w:rPr>
      <w:i/>
      <w:iCs/>
    </w:rPr>
  </w:style>
  <w:style w:type="paragraph" w:styleId="En-tte">
    <w:name w:val="header"/>
    <w:basedOn w:val="Normal"/>
    <w:link w:val="En-tteCar"/>
    <w:uiPriority w:val="99"/>
    <w:unhideWhenUsed/>
    <w:rsid w:val="002F457D"/>
    <w:pPr>
      <w:tabs>
        <w:tab w:val="center" w:pos="4320"/>
        <w:tab w:val="right" w:pos="8640"/>
      </w:tabs>
      <w:spacing w:after="0" w:line="240" w:lineRule="auto"/>
    </w:pPr>
  </w:style>
  <w:style w:type="character" w:customStyle="1" w:styleId="En-tteCar">
    <w:name w:val="En-tête Car"/>
    <w:basedOn w:val="Policepardfaut"/>
    <w:link w:val="En-tte"/>
    <w:uiPriority w:val="99"/>
    <w:rsid w:val="002F457D"/>
  </w:style>
  <w:style w:type="paragraph" w:styleId="Pieddepage">
    <w:name w:val="footer"/>
    <w:basedOn w:val="Normal"/>
    <w:link w:val="PieddepageCar"/>
    <w:uiPriority w:val="99"/>
    <w:unhideWhenUsed/>
    <w:rsid w:val="002F457D"/>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2F45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TotalTime>
  <Pages>3</Pages>
  <Words>1134</Words>
  <Characters>6239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DHINA</dc:creator>
  <cp:lastModifiedBy>Dhina Okba</cp:lastModifiedBy>
  <cp:revision>11</cp:revision>
  <dcterms:created xsi:type="dcterms:W3CDTF">2014-12-15T19:54:00Z</dcterms:created>
  <dcterms:modified xsi:type="dcterms:W3CDTF">2014-12-17T16:29:00Z</dcterms:modified>
</cp:coreProperties>
</file>