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1424" w:rsidRPr="001B1424" w:rsidRDefault="001B1424" w:rsidP="001B1424">
      <w:pPr>
        <w:bidi w:val="0"/>
        <w:rPr>
          <w:lang w:val="fr-FR" w:bidi="ar-DZ"/>
        </w:rPr>
      </w:pPr>
      <w:r w:rsidRPr="001B1424">
        <w:rPr>
          <w:lang w:val="fr-FR" w:bidi="ar-DZ"/>
        </w:rPr>
        <w:t xml:space="preserve">Dans cette étude nous nous proposons  d'apporter des  connaissances qualitatives  et quantitatives du degré de pollution humaine engendre par une sur utilisation des produits de protection des cultures. La complexité, la diversité et la faible concentration de ces produits contaminants  rendent le suivie analytique difficiles, nécessitant ainsi des moyens très performants. </w:t>
      </w:r>
    </w:p>
    <w:p w:rsidR="001B1424" w:rsidRPr="001B1424" w:rsidRDefault="001B1424" w:rsidP="001B1424">
      <w:pPr>
        <w:bidi w:val="0"/>
        <w:rPr>
          <w:lang w:val="fr-FR" w:bidi="ar-DZ"/>
        </w:rPr>
      </w:pPr>
      <w:r w:rsidRPr="001B1424">
        <w:rPr>
          <w:lang w:val="fr-FR" w:bidi="ar-DZ"/>
        </w:rPr>
        <w:t xml:space="preserve">Face à ce défi analytique la chromatographie est par excellence la méthode la plus adaptée. Nous nous somme donc intéressés  à une optimisation des conditions d'analyse en chromatographie liquide à haute performance (HPLC) de quelques pesticides, appartenant à la famille des </w:t>
      </w:r>
      <w:proofErr w:type="spellStart"/>
      <w:r w:rsidRPr="001B1424">
        <w:rPr>
          <w:lang w:val="fr-FR" w:bidi="ar-DZ"/>
        </w:rPr>
        <w:t>triazines</w:t>
      </w:r>
      <w:proofErr w:type="spellEnd"/>
      <w:r w:rsidRPr="001B1424">
        <w:rPr>
          <w:lang w:val="fr-FR" w:bidi="ar-DZ"/>
        </w:rPr>
        <w:t xml:space="preserve"> (la Simazine, la </w:t>
      </w:r>
      <w:proofErr w:type="spellStart"/>
      <w:r w:rsidRPr="001B1424">
        <w:rPr>
          <w:lang w:val="fr-FR" w:bidi="ar-DZ"/>
        </w:rPr>
        <w:t>Propazine</w:t>
      </w:r>
      <w:proofErr w:type="spellEnd"/>
      <w:r w:rsidRPr="001B1424">
        <w:rPr>
          <w:lang w:val="fr-FR" w:bidi="ar-DZ"/>
        </w:rPr>
        <w:t xml:space="preserve">, la </w:t>
      </w:r>
      <w:proofErr w:type="spellStart"/>
      <w:r w:rsidRPr="001B1424">
        <w:rPr>
          <w:lang w:val="fr-FR" w:bidi="ar-DZ"/>
        </w:rPr>
        <w:t>Terbutylazine</w:t>
      </w:r>
      <w:proofErr w:type="spellEnd"/>
      <w:r w:rsidRPr="001B1424">
        <w:rPr>
          <w:lang w:val="fr-FR" w:bidi="ar-DZ"/>
        </w:rPr>
        <w:t>) et à la famille des urées (l'</w:t>
      </w:r>
      <w:proofErr w:type="spellStart"/>
      <w:r w:rsidRPr="001B1424">
        <w:rPr>
          <w:lang w:val="fr-FR" w:bidi="ar-DZ"/>
        </w:rPr>
        <w:t>Isoproturon</w:t>
      </w:r>
      <w:proofErr w:type="spellEnd"/>
      <w:r w:rsidRPr="001B1424">
        <w:rPr>
          <w:lang w:val="fr-FR" w:bidi="ar-DZ"/>
        </w:rPr>
        <w:t>) ainsi que, certains produits de dégradation (le di-</w:t>
      </w:r>
      <w:proofErr w:type="spellStart"/>
      <w:r w:rsidRPr="001B1424">
        <w:rPr>
          <w:lang w:val="fr-FR" w:bidi="ar-DZ"/>
        </w:rPr>
        <w:t>ethyl</w:t>
      </w:r>
      <w:proofErr w:type="spellEnd"/>
      <w:r w:rsidRPr="001B1424">
        <w:rPr>
          <w:lang w:val="fr-FR" w:bidi="ar-DZ"/>
        </w:rPr>
        <w:t xml:space="preserve"> atrazine (DEA) le di </w:t>
      </w:r>
      <w:proofErr w:type="spellStart"/>
      <w:r w:rsidRPr="001B1424">
        <w:rPr>
          <w:lang w:val="fr-FR" w:bidi="ar-DZ"/>
        </w:rPr>
        <w:t>isopropyl</w:t>
      </w:r>
      <w:proofErr w:type="spellEnd"/>
      <w:r w:rsidRPr="001B1424">
        <w:rPr>
          <w:lang w:val="fr-FR" w:bidi="ar-DZ"/>
        </w:rPr>
        <w:t xml:space="preserve"> atrazine (DIA) et l'</w:t>
      </w:r>
      <w:proofErr w:type="spellStart"/>
      <w:r w:rsidRPr="001B1424">
        <w:rPr>
          <w:lang w:val="fr-FR" w:bidi="ar-DZ"/>
        </w:rPr>
        <w:t>hydroxy</w:t>
      </w:r>
      <w:proofErr w:type="spellEnd"/>
      <w:r w:rsidRPr="001B1424">
        <w:rPr>
          <w:lang w:val="fr-FR" w:bidi="ar-DZ"/>
        </w:rPr>
        <w:t xml:space="preserve"> di </w:t>
      </w:r>
      <w:proofErr w:type="spellStart"/>
      <w:r w:rsidRPr="001B1424">
        <w:rPr>
          <w:lang w:val="fr-FR" w:bidi="ar-DZ"/>
        </w:rPr>
        <w:t>isopropyl</w:t>
      </w:r>
      <w:proofErr w:type="spellEnd"/>
      <w:r w:rsidRPr="001B1424">
        <w:rPr>
          <w:lang w:val="fr-FR" w:bidi="ar-DZ"/>
        </w:rPr>
        <w:t xml:space="preserve"> atrazine (OHDIA)). </w:t>
      </w:r>
    </w:p>
    <w:p w:rsidR="001B1424" w:rsidRPr="001B1424" w:rsidRDefault="001B1424" w:rsidP="001B1424">
      <w:pPr>
        <w:bidi w:val="0"/>
        <w:rPr>
          <w:lang w:val="fr-FR" w:bidi="ar-DZ"/>
        </w:rPr>
      </w:pPr>
      <w:r w:rsidRPr="001B1424">
        <w:rPr>
          <w:lang w:val="fr-FR" w:bidi="ar-DZ"/>
        </w:rPr>
        <w:t xml:space="preserve">Dans une autre partie de ce travail, nous avons utilisé ces conditions optimales d'analyse pour   la recherche de ces herbicides dans  des échantillons issus des eaux de drainage. Ces derniers proviennent de différentes zones agricoles de la localité d'Ain </w:t>
      </w:r>
      <w:proofErr w:type="spellStart"/>
      <w:r w:rsidRPr="001B1424">
        <w:rPr>
          <w:lang w:val="fr-FR" w:bidi="ar-DZ"/>
        </w:rPr>
        <w:t>Taya</w:t>
      </w:r>
      <w:proofErr w:type="spellEnd"/>
      <w:r w:rsidRPr="001B1424">
        <w:rPr>
          <w:lang w:val="fr-FR" w:bidi="ar-DZ"/>
        </w:rPr>
        <w:t xml:space="preserve"> et de la station d'épuration de </w:t>
      </w:r>
      <w:proofErr w:type="spellStart"/>
      <w:r w:rsidRPr="001B1424">
        <w:rPr>
          <w:lang w:val="fr-FR" w:bidi="ar-DZ"/>
        </w:rPr>
        <w:t>Boudouaou</w:t>
      </w:r>
      <w:proofErr w:type="spellEnd"/>
      <w:r w:rsidRPr="001B1424">
        <w:rPr>
          <w:lang w:val="fr-FR" w:bidi="ar-DZ"/>
        </w:rPr>
        <w:t xml:space="preserve">.  </w:t>
      </w:r>
    </w:p>
    <w:p w:rsidR="00764C42" w:rsidRPr="001B1424" w:rsidRDefault="001B1424" w:rsidP="001B1424">
      <w:pPr>
        <w:bidi w:val="0"/>
        <w:rPr>
          <w:rFonts w:hint="cs"/>
          <w:lang w:val="fr-FR" w:bidi="ar-DZ"/>
        </w:rPr>
      </w:pPr>
      <w:r w:rsidRPr="001B1424">
        <w:rPr>
          <w:lang w:val="fr-FR" w:bidi="ar-DZ"/>
        </w:rPr>
        <w:t>Une analyse complémentaire  par chromatographie gazeuse couplée à la spectrométrie de masse (GC/MS), en impact électronique dans le mode  SIM, a été utilisée pour l'analyse de ces trois échantillons d'eau. Les résultats obtenus confirment l'absence de toutes traces de ces polluants potentiels des eaux dans nos échantillons.</w:t>
      </w:r>
    </w:p>
    <w:sectPr w:rsidR="00764C42" w:rsidRPr="001B1424" w:rsidSect="005F47AF">
      <w:pgSz w:w="11906" w:h="16838"/>
      <w:pgMar w:top="1440" w:right="1800" w:bottom="1440" w:left="1800" w:header="708" w:footer="708" w:gutter="0"/>
      <w:cols w:space="708"/>
      <w:bidi/>
      <w:rtlGutter/>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rsids>
    <w:rsidRoot w:val="001B1424"/>
    <w:rsid w:val="001B1424"/>
    <w:rsid w:val="005F47AF"/>
    <w:rsid w:val="00764C42"/>
  </w:rsids>
  <m:mathPr>
    <m:mathFont m:val="Cambria Math"/>
    <m:brkBin m:val="before"/>
    <m:brkBinSub m:val="--"/>
    <m:smallFrac m:val="off"/>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764C42"/>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228</Words>
  <Characters>1305</Characters>
  <Application>Microsoft Office Word</Application>
  <DocSecurity>0</DocSecurity>
  <Lines>10</Lines>
  <Paragraphs>3</Paragraphs>
  <ScaleCrop>false</ScaleCrop>
  <Company/>
  <LinksUpToDate>false</LinksUpToDate>
  <CharactersWithSpaces>1530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lila</dc:creator>
  <cp:lastModifiedBy>lila</cp:lastModifiedBy>
  <cp:revision>1</cp:revision>
  <dcterms:created xsi:type="dcterms:W3CDTF">2015-10-29T07:59:00Z</dcterms:created>
  <dcterms:modified xsi:type="dcterms:W3CDTF">2015-10-29T07:59:00Z</dcterms:modified>
</cp:coreProperties>
</file>