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A22" w:rsidRPr="001C4A22" w:rsidRDefault="001C4A22" w:rsidP="001C4A22">
      <w:pPr>
        <w:rPr>
          <w:rFonts w:ascii="Times New Roman" w:hAnsi="Times New Roman" w:cs="Times New Roman"/>
          <w:b/>
          <w:bCs/>
          <w:szCs w:val="24"/>
          <w:u w:val="single"/>
        </w:rPr>
      </w:pPr>
      <w:r w:rsidRPr="001C4A22">
        <w:rPr>
          <w:rFonts w:ascii="Times New Roman" w:hAnsi="Times New Roman" w:cs="Times New Roman"/>
          <w:b/>
          <w:bCs/>
          <w:szCs w:val="24"/>
          <w:u w:val="single"/>
        </w:rPr>
        <w:t>Résumé :</w:t>
      </w:r>
    </w:p>
    <w:p w:rsidR="00000000" w:rsidRPr="00512EC6" w:rsidRDefault="001C4A22" w:rsidP="00413A45">
      <w:pPr>
        <w:jc w:val="both"/>
        <w:rPr>
          <w:rFonts w:asciiTheme="majorBidi" w:hAnsiTheme="majorBidi" w:cstheme="majorBidi"/>
          <w:sz w:val="24"/>
          <w:szCs w:val="24"/>
          <w:u w:val="single"/>
        </w:rPr>
      </w:pPr>
      <w:r w:rsidRPr="00512EC6">
        <w:rPr>
          <w:rFonts w:asciiTheme="majorBidi" w:hAnsiTheme="majorBidi" w:cstheme="majorBidi"/>
          <w:sz w:val="24"/>
          <w:szCs w:val="24"/>
        </w:rPr>
        <w:t>Dans ce travail nous avons  étudié le comportement de l’huile minérale Borak22 (huile isolante utilisée  dans les transformateurs de haute tension), en présence de matériaux présents dans les transformateurs. Nous nous sommes intéressés à trois combinaisons d’échantillons : huile-papier, huile-cuivre et huile-papier-cuivre, puis nous avons comparé et  analysé la variation des  propriétés électriques et physico-chimiques de l’huile</w:t>
      </w:r>
      <w:r w:rsidR="00192929">
        <w:rPr>
          <w:rFonts w:asciiTheme="majorBidi" w:hAnsiTheme="majorBidi" w:cstheme="majorBidi"/>
          <w:sz w:val="24"/>
          <w:szCs w:val="24"/>
        </w:rPr>
        <w:t>,</w:t>
      </w:r>
      <w:r w:rsidRPr="00512EC6">
        <w:rPr>
          <w:rFonts w:asciiTheme="majorBidi" w:hAnsiTheme="majorBidi" w:cstheme="majorBidi"/>
          <w:sz w:val="24"/>
          <w:szCs w:val="24"/>
        </w:rPr>
        <w:t xml:space="preserve">  vieillie pendant 10 jours à 90 et 110°C </w:t>
      </w:r>
      <w:r w:rsidR="00192929">
        <w:rPr>
          <w:rFonts w:asciiTheme="majorBidi" w:hAnsiTheme="majorBidi" w:cstheme="majorBidi"/>
          <w:sz w:val="24"/>
          <w:szCs w:val="24"/>
        </w:rPr>
        <w:t>,</w:t>
      </w:r>
      <w:r w:rsidRPr="00512EC6">
        <w:rPr>
          <w:rFonts w:asciiTheme="majorBidi" w:hAnsiTheme="majorBidi" w:cstheme="majorBidi"/>
          <w:sz w:val="24"/>
          <w:szCs w:val="24"/>
        </w:rPr>
        <w:t>en fonction  de la quantité des matériaux mise en jeux.</w:t>
      </w:r>
      <w:r w:rsidR="00512EC6" w:rsidRPr="00512EC6">
        <w:rPr>
          <w:rFonts w:asciiTheme="majorBidi" w:hAnsiTheme="majorBidi" w:cstheme="majorBidi"/>
          <w:sz w:val="24"/>
          <w:szCs w:val="24"/>
        </w:rPr>
        <w:t xml:space="preserve"> Les résultats globaux indiquent que le cuivre </w:t>
      </w:r>
      <w:r w:rsidR="00413A45">
        <w:rPr>
          <w:rFonts w:asciiTheme="majorBidi" w:hAnsiTheme="majorBidi" w:cstheme="majorBidi"/>
          <w:sz w:val="24"/>
          <w:szCs w:val="24"/>
        </w:rPr>
        <w:t xml:space="preserve">dégrade </w:t>
      </w:r>
      <w:r w:rsidR="00512EC6" w:rsidRPr="00512EC6">
        <w:rPr>
          <w:rFonts w:asciiTheme="majorBidi" w:hAnsiTheme="majorBidi" w:cstheme="majorBidi"/>
          <w:sz w:val="24"/>
          <w:szCs w:val="24"/>
        </w:rPr>
        <w:t xml:space="preserve">plus l’huile pendant le processus du début de vieillissement. </w:t>
      </w:r>
      <w:r w:rsidR="00413A45">
        <w:rPr>
          <w:rFonts w:asciiTheme="majorBidi" w:hAnsiTheme="majorBidi" w:cstheme="majorBidi"/>
          <w:sz w:val="24"/>
          <w:szCs w:val="24"/>
        </w:rPr>
        <w:t>U</w:t>
      </w:r>
      <w:r w:rsidR="00512EC6" w:rsidRPr="00512EC6">
        <w:rPr>
          <w:rFonts w:asciiTheme="majorBidi" w:hAnsiTheme="majorBidi" w:cstheme="majorBidi"/>
          <w:sz w:val="24"/>
          <w:szCs w:val="24"/>
        </w:rPr>
        <w:t>ne amélioration de l’huile l’isolante mise en présence du papier presspahn</w:t>
      </w:r>
      <w:r w:rsidR="00413A45">
        <w:rPr>
          <w:rFonts w:asciiTheme="majorBidi" w:hAnsiTheme="majorBidi" w:cstheme="majorBidi"/>
          <w:sz w:val="24"/>
          <w:szCs w:val="24"/>
        </w:rPr>
        <w:t xml:space="preserve"> est </w:t>
      </w:r>
      <w:r w:rsidR="00EC4BAD">
        <w:rPr>
          <w:rFonts w:asciiTheme="majorBidi" w:hAnsiTheme="majorBidi" w:cstheme="majorBidi"/>
          <w:sz w:val="24"/>
          <w:szCs w:val="24"/>
        </w:rPr>
        <w:t xml:space="preserve">aussi </w:t>
      </w:r>
      <w:r w:rsidR="00413A45">
        <w:rPr>
          <w:rFonts w:asciiTheme="majorBidi" w:hAnsiTheme="majorBidi" w:cstheme="majorBidi"/>
          <w:sz w:val="24"/>
          <w:szCs w:val="24"/>
        </w:rPr>
        <w:t>relevée.</w:t>
      </w:r>
      <w:r w:rsidR="00512EC6" w:rsidRPr="00512EC6">
        <w:rPr>
          <w:rFonts w:asciiTheme="majorBidi" w:hAnsiTheme="majorBidi" w:cstheme="majorBidi"/>
          <w:sz w:val="24"/>
          <w:szCs w:val="24"/>
        </w:rPr>
        <w:t xml:space="preserve">  Pour l’</w:t>
      </w:r>
      <w:r w:rsidR="00413A45">
        <w:rPr>
          <w:rFonts w:asciiTheme="majorBidi" w:hAnsiTheme="majorBidi" w:cstheme="majorBidi"/>
          <w:sz w:val="24"/>
          <w:szCs w:val="24"/>
        </w:rPr>
        <w:t xml:space="preserve">influence de l’association </w:t>
      </w:r>
      <w:r w:rsidR="00512EC6" w:rsidRPr="00512EC6">
        <w:rPr>
          <w:rFonts w:asciiTheme="majorBidi" w:hAnsiTheme="majorBidi" w:cstheme="majorBidi"/>
          <w:sz w:val="24"/>
          <w:szCs w:val="24"/>
        </w:rPr>
        <w:t xml:space="preserve">des deux matériaux sur l’huile, </w:t>
      </w:r>
      <w:r w:rsidR="00413A45">
        <w:rPr>
          <w:rFonts w:asciiTheme="majorBidi" w:hAnsiTheme="majorBidi" w:cstheme="majorBidi"/>
          <w:sz w:val="24"/>
          <w:szCs w:val="24"/>
        </w:rPr>
        <w:t xml:space="preserve">l’altération  est  </w:t>
      </w:r>
      <w:r w:rsidR="00512EC6" w:rsidRPr="00512EC6">
        <w:rPr>
          <w:rFonts w:asciiTheme="majorBidi" w:hAnsiTheme="majorBidi" w:cstheme="majorBidi"/>
          <w:sz w:val="24"/>
          <w:szCs w:val="24"/>
        </w:rPr>
        <w:t xml:space="preserve"> </w:t>
      </w:r>
      <w:r w:rsidR="00413A45" w:rsidRPr="00512EC6">
        <w:rPr>
          <w:rFonts w:asciiTheme="majorBidi" w:hAnsiTheme="majorBidi" w:cstheme="majorBidi"/>
          <w:sz w:val="24"/>
          <w:szCs w:val="24"/>
        </w:rPr>
        <w:t>inférieure</w:t>
      </w:r>
      <w:r w:rsidR="00512EC6" w:rsidRPr="00512EC6">
        <w:rPr>
          <w:rFonts w:asciiTheme="majorBidi" w:hAnsiTheme="majorBidi" w:cstheme="majorBidi"/>
          <w:sz w:val="24"/>
          <w:szCs w:val="24"/>
        </w:rPr>
        <w:t xml:space="preserve"> à celle qui est dû </w:t>
      </w:r>
      <w:r w:rsidR="00413A45" w:rsidRPr="00512EC6">
        <w:rPr>
          <w:rFonts w:asciiTheme="majorBidi" w:hAnsiTheme="majorBidi" w:cstheme="majorBidi"/>
          <w:sz w:val="24"/>
          <w:szCs w:val="24"/>
        </w:rPr>
        <w:t>au cuivre</w:t>
      </w:r>
      <w:r w:rsidR="00512EC6" w:rsidRPr="00512EC6">
        <w:rPr>
          <w:rFonts w:asciiTheme="majorBidi" w:hAnsiTheme="majorBidi" w:cstheme="majorBidi"/>
          <w:sz w:val="24"/>
          <w:szCs w:val="24"/>
        </w:rPr>
        <w:t xml:space="preserve"> seul</w:t>
      </w:r>
      <w:r w:rsidR="00413A45">
        <w:rPr>
          <w:rFonts w:asciiTheme="majorBidi" w:hAnsiTheme="majorBidi" w:cstheme="majorBidi"/>
          <w:sz w:val="24"/>
          <w:szCs w:val="24"/>
        </w:rPr>
        <w:t>.</w:t>
      </w:r>
    </w:p>
    <w:sectPr w:rsidR="00000000" w:rsidRPr="00512EC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compat>
    <w:useFELayout/>
  </w:compat>
  <w:rsids>
    <w:rsidRoot w:val="001C4A22"/>
    <w:rsid w:val="00192929"/>
    <w:rsid w:val="001C4A22"/>
    <w:rsid w:val="00267998"/>
    <w:rsid w:val="00413A45"/>
    <w:rsid w:val="00512EC6"/>
    <w:rsid w:val="00EC4BA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136</Words>
  <Characters>751</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user100</dc:creator>
  <cp:keywords/>
  <dc:description/>
  <cp:lastModifiedBy>user100</cp:lastModifiedBy>
  <cp:revision>6</cp:revision>
  <dcterms:created xsi:type="dcterms:W3CDTF">2015-06-17T12:06:00Z</dcterms:created>
  <dcterms:modified xsi:type="dcterms:W3CDTF">2015-06-17T12:23:00Z</dcterms:modified>
</cp:coreProperties>
</file>