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5D1D" w:rsidRDefault="00C15D1D" w:rsidP="00C15D1D">
      <w:r>
        <w:t xml:space="preserve">Nous avons mesuré les pouvoirs d'arrêts des protons, des particules alpha et des deutérons dans quatre matériaux cibles : le nickel, le polypropylène, le </w:t>
      </w:r>
      <w:proofErr w:type="spellStart"/>
      <w:r>
        <w:t>mylar</w:t>
      </w:r>
      <w:proofErr w:type="spellEnd"/>
      <w:r>
        <w:t xml:space="preserve"> et le fluorure de lithium. Ces cibles ont été choisies pour couvrir les matériaux solides d'éléments simples, les polymères organiques et les composés ioniques. Les projectiles 4He+ et 2H+ ont seulement été considérés pour le cas des cibles de Ni. Ces mesures ont été effectuées auprès de l'accélérateur </w:t>
      </w:r>
      <w:proofErr w:type="spellStart"/>
      <w:r>
        <w:t>V.d.G</w:t>
      </w:r>
      <w:proofErr w:type="spellEnd"/>
      <w:r>
        <w:t xml:space="preserve">-3.75 MV du CRNA où la région d'énergie ~ (0.2 - 3.4) MeV/u a été explorée. Le but de ces mesures est de contribuer à élargir la base de données expérimentale aussi bien par de nouvelles données que par l'amélioration de la précision de celles déjà existantes en vue d'une meilleure confrontation avec la théorie. L'incertitude relative de ces mesures est inférieure au pourcent pour les  polymères et le nickel et elle est au maximum de l'ordre de 3.7% pour le </w:t>
      </w:r>
      <w:proofErr w:type="spellStart"/>
      <w:r>
        <w:t>LiF</w:t>
      </w:r>
      <w:proofErr w:type="spellEnd"/>
      <w:r>
        <w:t>.</w:t>
      </w:r>
    </w:p>
    <w:p w:rsidR="00C15D1D" w:rsidRDefault="00C15D1D" w:rsidP="00C15D1D">
      <w:r>
        <w:t xml:space="preserve">Les cibles de </w:t>
      </w:r>
      <w:proofErr w:type="spellStart"/>
      <w:r>
        <w:t>LiF</w:t>
      </w:r>
      <w:proofErr w:type="spellEnd"/>
      <w:r>
        <w:t xml:space="preserve"> ont été préparées au CRNA par évaporation sous vide de monocristaux de ce composé sur de minces feuilles d'aluminium autosupportées. La composition élémentaire et la </w:t>
      </w:r>
      <w:proofErr w:type="spellStart"/>
      <w:r>
        <w:t>stoechiométrie</w:t>
      </w:r>
      <w:proofErr w:type="spellEnd"/>
      <w:r>
        <w:t xml:space="preserve"> de ces dépôts ont été étudiées par des analyses "RBS" des échantillons préparés. Outre qu'aucune modification notable des molécules </w:t>
      </w:r>
      <w:proofErr w:type="spellStart"/>
      <w:r>
        <w:t>LiF</w:t>
      </w:r>
      <w:proofErr w:type="spellEnd"/>
      <w:r>
        <w:t xml:space="preserve"> n'a été induite sous les fluences considérées, ces analyses ont révélé un taux de ~ 27.6% de contaminant d'élément C. Ces analyses ont, par ailleurs, confirmé la fiabilité des résultats de mesures des épaisseurs des cibles déterminés dans ce travail.</w:t>
      </w:r>
    </w:p>
    <w:p w:rsidR="00C15D1D" w:rsidRDefault="00C15D1D" w:rsidP="00C15D1D">
      <w:r>
        <w:t xml:space="preserve">Les résultats obtenus ont été confrontés à ceux de la littérature et aux prédictions de la théorie binaire, développée récemment  par Sigmund et </w:t>
      </w:r>
      <w:proofErr w:type="spellStart"/>
      <w:r>
        <w:t>Schinner</w:t>
      </w:r>
      <w:proofErr w:type="spellEnd"/>
      <w:r>
        <w:t xml:space="preserve">, où un bon accord avec ces dernières a été observé. Par ailleurs, il ressort de cette étude que la relation de Bragg reste valide pour les polymères considérés alors qu'elle cesse de l'être pour le </w:t>
      </w:r>
      <w:proofErr w:type="spellStart"/>
      <w:r>
        <w:t>LiF</w:t>
      </w:r>
      <w:proofErr w:type="spellEnd"/>
      <w:r>
        <w:t xml:space="preserve"> où une déviation de  ~ 4% a été constaté pour les énergies   0.42 MeV. </w:t>
      </w:r>
    </w:p>
    <w:p w:rsidR="004A44DE" w:rsidRDefault="00C15D1D" w:rsidP="00C15D1D">
      <w:r>
        <w:t xml:space="preserve">Les données obtenues pour les polymères et le nickel ont été analysées dans le cadre de la théorie de Bethe-Bloch modifiée en vue de déterminer, pour ces matériaux et leurs constituant atomiques, le potentiel d'ionisation moyen   et le paramètre </w:t>
      </w:r>
      <w:proofErr w:type="spellStart"/>
      <w:proofErr w:type="gramStart"/>
      <w:r>
        <w:t>Barkas</w:t>
      </w:r>
      <w:proofErr w:type="spellEnd"/>
      <w:r>
        <w:t xml:space="preserve">  .</w:t>
      </w:r>
      <w:proofErr w:type="gramEnd"/>
      <w:r>
        <w:t xml:space="preserve"> Une différence significative (~11%) entre les valeurs </w:t>
      </w:r>
      <w:proofErr w:type="gramStart"/>
      <w:r>
        <w:t>de ,</w:t>
      </w:r>
      <w:proofErr w:type="gramEnd"/>
      <w:r>
        <w:t xml:space="preserve">  déduites des données "protons" et "alpha" pour le nickel, a été observée indiquant un effet de structure électronique du projectile sur le pouvoir d'arrêt de ce matériau.</w:t>
      </w:r>
    </w:p>
    <w:sectPr w:rsidR="004A44DE" w:rsidSect="004A44DE">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C15D1D"/>
    <w:rsid w:val="004A44DE"/>
    <w:rsid w:val="00C15D1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44D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374</Words>
  <Characters>2063</Characters>
  <Application>Microsoft Office Word</Application>
  <DocSecurity>0</DocSecurity>
  <Lines>17</Lines>
  <Paragraphs>4</Paragraphs>
  <ScaleCrop>false</ScaleCrop>
  <Company/>
  <LinksUpToDate>false</LinksUpToDate>
  <CharactersWithSpaces>2433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2015-01-13T08:51:00Z</dcterms:created>
  <dcterms:modified xsi:type="dcterms:W3CDTF">2015-01-13T08:51:00Z</dcterms:modified>
</cp:coreProperties>
</file>