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42B7" w:rsidRDefault="00C242B7" w:rsidP="00A62567">
      <w:pPr>
        <w:spacing w:after="0" w:line="240" w:lineRule="auto"/>
        <w:jc w:val="center"/>
        <w:rPr>
          <w:rFonts w:ascii="Century Schoolbook" w:hAnsi="Century Schoolbook"/>
          <w:b/>
          <w:sz w:val="24"/>
          <w:szCs w:val="24"/>
        </w:rPr>
      </w:pPr>
    </w:p>
    <w:p w:rsidR="00C242B7" w:rsidRDefault="00C242B7" w:rsidP="00A62567">
      <w:pPr>
        <w:spacing w:after="0" w:line="240" w:lineRule="auto"/>
        <w:jc w:val="center"/>
        <w:rPr>
          <w:rFonts w:ascii="Century Schoolbook" w:hAnsi="Century Schoolbook"/>
          <w:b/>
          <w:sz w:val="24"/>
          <w:szCs w:val="24"/>
        </w:rPr>
      </w:pPr>
    </w:p>
    <w:p w:rsidR="00C242B7" w:rsidRDefault="00C242B7" w:rsidP="00A62567">
      <w:pPr>
        <w:spacing w:after="0" w:line="240" w:lineRule="auto"/>
        <w:jc w:val="center"/>
        <w:rPr>
          <w:rFonts w:ascii="Century Schoolbook" w:hAnsi="Century Schoolbook"/>
          <w:b/>
          <w:sz w:val="24"/>
          <w:szCs w:val="24"/>
        </w:rPr>
      </w:pPr>
    </w:p>
    <w:p w:rsidR="00C242B7" w:rsidRDefault="00C242B7" w:rsidP="00A62567">
      <w:pPr>
        <w:spacing w:after="0" w:line="240" w:lineRule="auto"/>
        <w:jc w:val="center"/>
        <w:rPr>
          <w:rFonts w:ascii="Century Schoolbook" w:hAnsi="Century Schoolbook"/>
          <w:b/>
          <w:sz w:val="24"/>
          <w:szCs w:val="24"/>
        </w:rPr>
      </w:pPr>
    </w:p>
    <w:p w:rsidR="00C242B7" w:rsidRDefault="00C242B7" w:rsidP="00A62567">
      <w:pPr>
        <w:spacing w:after="0" w:line="240" w:lineRule="auto"/>
        <w:jc w:val="center"/>
        <w:rPr>
          <w:rFonts w:ascii="Century Schoolbook" w:hAnsi="Century Schoolbook"/>
          <w:b/>
          <w:sz w:val="24"/>
          <w:szCs w:val="24"/>
        </w:rPr>
      </w:pPr>
    </w:p>
    <w:p w:rsidR="00C242B7" w:rsidRDefault="00C242B7" w:rsidP="00A62567">
      <w:pPr>
        <w:spacing w:after="0" w:line="240" w:lineRule="auto"/>
        <w:jc w:val="center"/>
        <w:rPr>
          <w:rFonts w:ascii="Century Schoolbook" w:hAnsi="Century Schoolbook"/>
          <w:b/>
          <w:sz w:val="24"/>
          <w:szCs w:val="24"/>
        </w:rPr>
      </w:pPr>
    </w:p>
    <w:p w:rsidR="00C242B7" w:rsidRDefault="00C242B7" w:rsidP="00A62567">
      <w:pPr>
        <w:spacing w:after="0" w:line="240" w:lineRule="auto"/>
        <w:jc w:val="center"/>
        <w:rPr>
          <w:rFonts w:ascii="Century Schoolbook" w:hAnsi="Century Schoolbook"/>
          <w:b/>
          <w:sz w:val="24"/>
          <w:szCs w:val="24"/>
        </w:rPr>
      </w:pPr>
    </w:p>
    <w:p w:rsidR="00C242B7" w:rsidRDefault="00C242B7" w:rsidP="00A62567">
      <w:pPr>
        <w:spacing w:after="0" w:line="240" w:lineRule="auto"/>
        <w:jc w:val="center"/>
        <w:rPr>
          <w:rFonts w:ascii="Century Schoolbook" w:hAnsi="Century Schoolbook"/>
          <w:b/>
          <w:sz w:val="24"/>
          <w:szCs w:val="24"/>
        </w:rPr>
      </w:pPr>
    </w:p>
    <w:p w:rsidR="00A62567" w:rsidRPr="00A62567" w:rsidRDefault="00A62567" w:rsidP="00A62567">
      <w:pPr>
        <w:spacing w:after="0" w:line="240" w:lineRule="auto"/>
        <w:jc w:val="center"/>
        <w:rPr>
          <w:rFonts w:ascii="Century Schoolbook" w:hAnsi="Century Schoolbook"/>
          <w:b/>
          <w:sz w:val="24"/>
          <w:szCs w:val="24"/>
        </w:rPr>
      </w:pPr>
      <w:bookmarkStart w:id="0" w:name="_GoBack"/>
      <w:bookmarkEnd w:id="0"/>
      <w:r w:rsidRPr="00A62567">
        <w:rPr>
          <w:rFonts w:ascii="Century Schoolbook" w:hAnsi="Century Schoolbook"/>
          <w:b/>
          <w:sz w:val="24"/>
          <w:szCs w:val="24"/>
        </w:rPr>
        <w:t>Résumé</w:t>
      </w:r>
    </w:p>
    <w:p w:rsidR="00A62567" w:rsidRPr="00A62567" w:rsidRDefault="00A62567" w:rsidP="00A62567">
      <w:pPr>
        <w:spacing w:after="0" w:line="240" w:lineRule="auto"/>
        <w:jc w:val="center"/>
        <w:rPr>
          <w:rFonts w:ascii="Century Schoolbook" w:hAnsi="Century Schoolbook"/>
          <w:b/>
          <w:sz w:val="24"/>
          <w:szCs w:val="24"/>
        </w:rPr>
      </w:pPr>
    </w:p>
    <w:p w:rsidR="00A62567" w:rsidRPr="00A62567" w:rsidRDefault="00A62567" w:rsidP="00A62567">
      <w:pPr>
        <w:spacing w:after="0" w:line="240" w:lineRule="auto"/>
        <w:jc w:val="center"/>
        <w:rPr>
          <w:rFonts w:ascii="Century Schoolbook" w:hAnsi="Century Schoolbook"/>
          <w:b/>
          <w:sz w:val="24"/>
          <w:szCs w:val="24"/>
        </w:rPr>
      </w:pPr>
    </w:p>
    <w:p w:rsidR="00A62567" w:rsidRDefault="00A62567" w:rsidP="00A62567">
      <w:pPr>
        <w:spacing w:after="0" w:line="240" w:lineRule="auto"/>
        <w:jc w:val="both"/>
        <w:rPr>
          <w:rFonts w:ascii="Century Schoolbook" w:hAnsi="Century Schoolbook"/>
          <w:sz w:val="20"/>
          <w:szCs w:val="20"/>
        </w:rPr>
      </w:pPr>
      <w:r>
        <w:rPr>
          <w:rFonts w:ascii="Century Schoolbook" w:hAnsi="Century Schoolbook"/>
          <w:sz w:val="20"/>
          <w:szCs w:val="20"/>
        </w:rPr>
        <w:t>Sous l’effet d’une excitation sismique, la topographie du sol peut générer une amplification du mouvement surtout aux alentours de la crête.</w:t>
      </w:r>
      <w:r>
        <w:rPr>
          <w:rFonts w:ascii="Century Schoolbook" w:hAnsi="Century Schoolbook" w:cs="ArialMT"/>
          <w:sz w:val="20"/>
          <w:szCs w:val="20"/>
        </w:rPr>
        <w:t xml:space="preserve"> Lors du séisme </w:t>
      </w:r>
      <w:r>
        <w:rPr>
          <w:rFonts w:ascii="Century Schoolbook" w:hAnsi="Century Schoolbook"/>
          <w:sz w:val="20"/>
          <w:szCs w:val="20"/>
        </w:rPr>
        <w:t xml:space="preserve">de </w:t>
      </w:r>
      <w:proofErr w:type="spellStart"/>
      <w:r>
        <w:rPr>
          <w:rFonts w:ascii="Century Schoolbook" w:hAnsi="Century Schoolbook"/>
          <w:sz w:val="20"/>
          <w:szCs w:val="20"/>
        </w:rPr>
        <w:t>Boumerdès</w:t>
      </w:r>
      <w:proofErr w:type="spellEnd"/>
      <w:r>
        <w:rPr>
          <w:rFonts w:ascii="Century Schoolbook" w:hAnsi="Century Schoolbook"/>
          <w:sz w:val="20"/>
          <w:szCs w:val="20"/>
        </w:rPr>
        <w:t xml:space="preserve"> 2003 (</w:t>
      </w:r>
      <w:proofErr w:type="spellStart"/>
      <w:r>
        <w:rPr>
          <w:rFonts w:ascii="Century Schoolbook" w:hAnsi="Century Schoolbook"/>
          <w:sz w:val="20"/>
          <w:szCs w:val="20"/>
        </w:rPr>
        <w:t>Mw</w:t>
      </w:r>
      <w:proofErr w:type="spellEnd"/>
      <w:r>
        <w:rPr>
          <w:rFonts w:ascii="Century Schoolbook" w:hAnsi="Century Schoolbook"/>
          <w:sz w:val="20"/>
          <w:szCs w:val="20"/>
        </w:rPr>
        <w:t xml:space="preserve">=6.8), d’importants dégâts ont été enregistrés sur des sites en crête d’escarpement naturel, tandis que, le Règlement Parasismique Algérien reste très déficient vis-à-vis de ce phénomène. L’objectif de ce modeste travail, est (i) d’analyser les effets de la topographie de pente en identifiant les paramètres influençant ces effets, (ii) d’expliquer les dommages non uniformes dans la Cité des 102 Logements de Corso, bordée par une pente douce, lors du séisme de Boumerdès 2003 et finalement, analyser la réponse des sites rocheux en pente aigue. </w:t>
      </w:r>
    </w:p>
    <w:p w:rsidR="00A62567" w:rsidRDefault="00A62567" w:rsidP="00A62567">
      <w:pPr>
        <w:autoSpaceDE w:val="0"/>
        <w:autoSpaceDN w:val="0"/>
        <w:adjustRightInd w:val="0"/>
        <w:spacing w:after="0" w:line="240" w:lineRule="auto"/>
        <w:jc w:val="both"/>
        <w:rPr>
          <w:rFonts w:ascii="Century Schoolbook" w:hAnsi="Century Schoolbook"/>
          <w:sz w:val="20"/>
          <w:szCs w:val="20"/>
        </w:rPr>
      </w:pPr>
    </w:p>
    <w:p w:rsidR="00A62567" w:rsidRDefault="00A62567" w:rsidP="00A62567">
      <w:pPr>
        <w:autoSpaceDE w:val="0"/>
        <w:autoSpaceDN w:val="0"/>
        <w:adjustRightInd w:val="0"/>
        <w:spacing w:after="0" w:line="240" w:lineRule="auto"/>
        <w:jc w:val="both"/>
        <w:rPr>
          <w:rFonts w:ascii="Century Schoolbook" w:hAnsi="Century Schoolbook"/>
          <w:sz w:val="20"/>
          <w:szCs w:val="20"/>
        </w:rPr>
      </w:pPr>
    </w:p>
    <w:p w:rsidR="00EB5914" w:rsidRDefault="00EB5914" w:rsidP="00A62567">
      <w:pPr>
        <w:autoSpaceDE w:val="0"/>
        <w:autoSpaceDN w:val="0"/>
        <w:adjustRightInd w:val="0"/>
        <w:spacing w:after="0" w:line="240" w:lineRule="auto"/>
        <w:jc w:val="both"/>
      </w:pPr>
    </w:p>
    <w:sectPr w:rsidR="00EB591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entury Schoolbook">
    <w:altName w:val="Century"/>
    <w:panose1 w:val="02040604050505020304"/>
    <w:charset w:val="00"/>
    <w:family w:val="roman"/>
    <w:pitch w:val="variable"/>
    <w:sig w:usb0="00000287" w:usb1="00000000" w:usb2="00000000" w:usb3="00000000" w:csb0="0000009F" w:csb1="00000000"/>
  </w:font>
  <w:font w:name="ArialM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2567"/>
    <w:rsid w:val="00A62567"/>
    <w:rsid w:val="00C242B7"/>
    <w:rsid w:val="00EB591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1908BBD-E7F2-4DE7-87D1-173E11B07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2567"/>
    <w:pPr>
      <w:spacing w:after="160" w:line="256" w:lineRule="auto"/>
    </w:pPr>
    <w:rPr>
      <w:rFonts w:ascii="Calibri" w:eastAsia="Calibri" w:hAnsi="Calibri"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114</Words>
  <Characters>632</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Mezouar Nourredine</dc:creator>
  <cp:keywords/>
  <dc:description/>
  <cp:lastModifiedBy>naima</cp:lastModifiedBy>
  <cp:revision>3</cp:revision>
  <dcterms:created xsi:type="dcterms:W3CDTF">2017-07-03T13:40:00Z</dcterms:created>
  <dcterms:modified xsi:type="dcterms:W3CDTF">2018-02-11T09:36:00Z</dcterms:modified>
</cp:coreProperties>
</file>