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379" w:rsidRDefault="00856379" w:rsidP="00856379">
      <w:pPr>
        <w:tabs>
          <w:tab w:val="left" w:pos="4283"/>
        </w:tabs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856379" w:rsidRDefault="00856379" w:rsidP="00856379">
      <w:pPr>
        <w:rPr>
          <w:rFonts w:asciiTheme="majorBidi" w:hAnsiTheme="majorBidi" w:cstheme="majorBidi"/>
          <w:b/>
          <w:bCs/>
          <w:sz w:val="24"/>
          <w:szCs w:val="24"/>
        </w:rPr>
      </w:pPr>
    </w:p>
    <w:p w:rsidR="00856379" w:rsidRDefault="00856379" w:rsidP="00856379">
      <w:pPr>
        <w:rPr>
          <w:rFonts w:asciiTheme="majorBidi" w:hAnsiTheme="majorBidi" w:cstheme="majorBidi"/>
          <w:sz w:val="24"/>
          <w:szCs w:val="24"/>
        </w:rPr>
      </w:pP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Psammomys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obesus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Meriones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libycus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et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Meriones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shawi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sont des rongeurs déserticoles de la famille des Gerbillidae caractérisés par un cycle saisonnier de la reproduction. </w:t>
      </w:r>
    </w:p>
    <w:p w:rsidR="00856379" w:rsidRDefault="00856379" w:rsidP="008563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L’analyse électrophorétique (</w:t>
      </w:r>
      <w:r>
        <w:rPr>
          <w:rFonts w:asciiTheme="majorBidi" w:hAnsiTheme="majorBidi" w:cstheme="majorBidi"/>
          <w:b/>
          <w:bCs/>
          <w:sz w:val="24"/>
          <w:szCs w:val="24"/>
        </w:rPr>
        <w:t>SDS-PAGE</w:t>
      </w:r>
      <w:r>
        <w:rPr>
          <w:rFonts w:asciiTheme="majorBidi" w:hAnsiTheme="majorBidi" w:cstheme="majorBidi"/>
          <w:sz w:val="24"/>
          <w:szCs w:val="24"/>
        </w:rPr>
        <w:t xml:space="preserve">) et </w:t>
      </w:r>
      <w:proofErr w:type="spellStart"/>
      <w:r>
        <w:rPr>
          <w:rFonts w:asciiTheme="majorBidi" w:hAnsiTheme="majorBidi" w:cstheme="majorBidi"/>
          <w:sz w:val="24"/>
          <w:szCs w:val="24"/>
        </w:rPr>
        <w:t>zymographique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en gel de gélatine des protéines solubles de l’homogénat des </w:t>
      </w:r>
      <w:r>
        <w:rPr>
          <w:rFonts w:asciiTheme="majorBidi" w:hAnsiTheme="majorBidi" w:cstheme="majorBidi"/>
          <w:b/>
          <w:bCs/>
          <w:sz w:val="24"/>
          <w:szCs w:val="24"/>
        </w:rPr>
        <w:t>vésicules séminales</w:t>
      </w:r>
      <w:r>
        <w:rPr>
          <w:rFonts w:asciiTheme="majorBidi" w:hAnsiTheme="majorBidi" w:cstheme="majorBidi"/>
          <w:sz w:val="24"/>
          <w:szCs w:val="24"/>
        </w:rPr>
        <w:t xml:space="preserve"> et des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épididymes </w:t>
      </w:r>
      <w:r>
        <w:rPr>
          <w:rFonts w:asciiTheme="majorBidi" w:hAnsiTheme="majorBidi" w:cstheme="majorBidi"/>
          <w:sz w:val="24"/>
          <w:szCs w:val="24"/>
        </w:rPr>
        <w:t xml:space="preserve">de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Psammomys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obesus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en période de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reproduction </w:t>
      </w:r>
      <w:r>
        <w:rPr>
          <w:rFonts w:asciiTheme="majorBidi" w:hAnsiTheme="majorBidi" w:cstheme="majorBidi"/>
          <w:sz w:val="24"/>
          <w:szCs w:val="24"/>
        </w:rPr>
        <w:t xml:space="preserve">et en période de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repos </w:t>
      </w:r>
      <w:r>
        <w:rPr>
          <w:rFonts w:asciiTheme="majorBidi" w:hAnsiTheme="majorBidi" w:cstheme="majorBidi"/>
          <w:sz w:val="24"/>
          <w:szCs w:val="24"/>
        </w:rPr>
        <w:t xml:space="preserve">sexuel montre  la présence d’une protéine de PM apparent de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92kDa ou MMP-9 </w:t>
      </w:r>
      <w:r w:rsidRPr="00856379">
        <w:rPr>
          <w:rFonts w:asciiTheme="majorBidi" w:hAnsiTheme="majorBidi" w:cstheme="majorBidi"/>
          <w:sz w:val="24"/>
          <w:szCs w:val="24"/>
        </w:rPr>
        <w:t xml:space="preserve">dont </w:t>
      </w:r>
      <w:r w:rsidRPr="00856379">
        <w:rPr>
          <w:rFonts w:asciiTheme="majorBidi" w:hAnsiTheme="majorBidi" w:cstheme="majorBidi"/>
          <w:b/>
          <w:bCs/>
          <w:sz w:val="24"/>
          <w:szCs w:val="24"/>
        </w:rPr>
        <w:t>l’activité gélatinase</w:t>
      </w:r>
      <w:r w:rsidRPr="00856379">
        <w:rPr>
          <w:rFonts w:asciiTheme="majorBidi" w:hAnsiTheme="majorBidi" w:cstheme="majorBidi"/>
          <w:sz w:val="24"/>
          <w:szCs w:val="24"/>
        </w:rPr>
        <w:t xml:space="preserve"> est caractéristique de la période de </w:t>
      </w:r>
      <w:r w:rsidRPr="00856379">
        <w:rPr>
          <w:rFonts w:asciiTheme="majorBidi" w:hAnsiTheme="majorBidi" w:cstheme="majorBidi"/>
          <w:b/>
          <w:bCs/>
          <w:sz w:val="24"/>
          <w:szCs w:val="24"/>
        </w:rPr>
        <w:t>repos sexuel</w:t>
      </w:r>
      <w:r>
        <w:rPr>
          <w:rFonts w:asciiTheme="majorBidi" w:hAnsiTheme="majorBidi" w:cstheme="majorBidi"/>
          <w:sz w:val="24"/>
          <w:szCs w:val="24"/>
        </w:rPr>
        <w:t xml:space="preserve">, et semble être </w:t>
      </w:r>
      <w:r w:rsidRPr="00856379">
        <w:rPr>
          <w:rFonts w:asciiTheme="majorBidi" w:hAnsiTheme="majorBidi" w:cstheme="majorBidi"/>
          <w:b/>
          <w:bCs/>
          <w:sz w:val="24"/>
          <w:szCs w:val="24"/>
        </w:rPr>
        <w:t>réprimée</w:t>
      </w:r>
      <w:r>
        <w:rPr>
          <w:rFonts w:asciiTheme="majorBidi" w:hAnsiTheme="majorBidi" w:cstheme="majorBidi"/>
          <w:sz w:val="24"/>
          <w:szCs w:val="24"/>
        </w:rPr>
        <w:t xml:space="preserve"> en période  </w:t>
      </w:r>
      <w:r w:rsidRPr="00856379">
        <w:rPr>
          <w:rFonts w:asciiTheme="majorBidi" w:hAnsiTheme="majorBidi" w:cstheme="majorBidi"/>
          <w:b/>
          <w:bCs/>
          <w:sz w:val="24"/>
          <w:szCs w:val="24"/>
        </w:rPr>
        <w:t xml:space="preserve">reproduction </w:t>
      </w:r>
      <w:r>
        <w:rPr>
          <w:rFonts w:asciiTheme="majorBidi" w:hAnsiTheme="majorBidi" w:cstheme="majorBidi"/>
          <w:sz w:val="24"/>
          <w:szCs w:val="24"/>
        </w:rPr>
        <w:t xml:space="preserve">par la </w:t>
      </w:r>
      <w:r w:rsidRPr="00856379">
        <w:rPr>
          <w:rFonts w:asciiTheme="majorBidi" w:hAnsiTheme="majorBidi" w:cstheme="majorBidi"/>
          <w:b/>
          <w:bCs/>
          <w:sz w:val="24"/>
          <w:szCs w:val="24"/>
        </w:rPr>
        <w:t>testostérone</w:t>
      </w:r>
      <w:r>
        <w:rPr>
          <w:rFonts w:asciiTheme="majorBidi" w:hAnsiTheme="majorBidi" w:cstheme="majorBidi"/>
          <w:sz w:val="24"/>
          <w:szCs w:val="24"/>
        </w:rPr>
        <w:t xml:space="preserve"> ou par la </w:t>
      </w:r>
      <w:proofErr w:type="spellStart"/>
      <w:r w:rsidRPr="00856379">
        <w:rPr>
          <w:rFonts w:asciiTheme="majorBidi" w:hAnsiTheme="majorBidi" w:cstheme="majorBidi"/>
          <w:b/>
          <w:bCs/>
          <w:sz w:val="24"/>
          <w:szCs w:val="24"/>
        </w:rPr>
        <w:t>transgeline</w:t>
      </w:r>
      <w:proofErr w:type="spellEnd"/>
      <w:r>
        <w:rPr>
          <w:rFonts w:asciiTheme="majorBidi" w:hAnsiTheme="majorBidi" w:cstheme="majorBidi"/>
          <w:sz w:val="24"/>
          <w:szCs w:val="24"/>
        </w:rPr>
        <w:t>.</w:t>
      </w:r>
    </w:p>
    <w:p w:rsidR="00856379" w:rsidRDefault="00856379" w:rsidP="008563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Une activité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gélatinase</w:t>
      </w:r>
      <w:r>
        <w:rPr>
          <w:rFonts w:asciiTheme="majorBidi" w:hAnsiTheme="majorBidi" w:cstheme="majorBidi"/>
          <w:sz w:val="24"/>
          <w:szCs w:val="24"/>
        </w:rPr>
        <w:t xml:space="preserve"> correspondant aux protéines de PM de </w:t>
      </w:r>
      <w:r>
        <w:rPr>
          <w:rFonts w:asciiTheme="majorBidi" w:hAnsiTheme="majorBidi" w:cstheme="majorBidi"/>
          <w:b/>
          <w:bCs/>
          <w:sz w:val="24"/>
          <w:szCs w:val="24"/>
        </w:rPr>
        <w:t>52kDa</w:t>
      </w:r>
      <w:r>
        <w:rPr>
          <w:rFonts w:asciiTheme="majorBidi" w:hAnsiTheme="majorBidi" w:cstheme="majorBidi"/>
          <w:sz w:val="24"/>
          <w:szCs w:val="24"/>
        </w:rPr>
        <w:t xml:space="preserve"> (</w:t>
      </w:r>
      <w:r>
        <w:rPr>
          <w:rFonts w:asciiTheme="majorBidi" w:hAnsiTheme="majorBidi" w:cstheme="majorBidi"/>
          <w:b/>
          <w:bCs/>
          <w:sz w:val="24"/>
          <w:szCs w:val="24"/>
        </w:rPr>
        <w:t>MMP-3</w:t>
      </w:r>
      <w:r>
        <w:rPr>
          <w:rFonts w:asciiTheme="majorBidi" w:hAnsiTheme="majorBidi" w:cstheme="majorBidi"/>
          <w:sz w:val="24"/>
          <w:szCs w:val="24"/>
        </w:rPr>
        <w:t xml:space="preserve">) et de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60kDa </w:t>
      </w:r>
      <w:r>
        <w:rPr>
          <w:rFonts w:asciiTheme="majorBidi" w:hAnsiTheme="majorBidi" w:cstheme="majorBidi"/>
          <w:sz w:val="24"/>
          <w:szCs w:val="24"/>
        </w:rPr>
        <w:t>(</w:t>
      </w:r>
      <w:r>
        <w:rPr>
          <w:rFonts w:asciiTheme="majorBidi" w:hAnsiTheme="majorBidi" w:cstheme="majorBidi"/>
          <w:b/>
          <w:bCs/>
          <w:sz w:val="24"/>
          <w:szCs w:val="24"/>
        </w:rPr>
        <w:t>MMP-13</w:t>
      </w:r>
      <w:r>
        <w:rPr>
          <w:rFonts w:asciiTheme="majorBidi" w:hAnsiTheme="majorBidi" w:cstheme="majorBidi"/>
          <w:sz w:val="24"/>
          <w:szCs w:val="24"/>
        </w:rPr>
        <w:t xml:space="preserve">) </w:t>
      </w:r>
      <w:r w:rsidR="00CD49EC">
        <w:rPr>
          <w:rFonts w:asciiTheme="majorBidi" w:hAnsiTheme="majorBidi" w:cstheme="majorBidi"/>
          <w:sz w:val="24"/>
          <w:szCs w:val="24"/>
        </w:rPr>
        <w:t xml:space="preserve">est révélée </w:t>
      </w:r>
      <w:r>
        <w:rPr>
          <w:rFonts w:asciiTheme="majorBidi" w:hAnsiTheme="majorBidi" w:cstheme="majorBidi"/>
          <w:sz w:val="24"/>
          <w:szCs w:val="24"/>
        </w:rPr>
        <w:t xml:space="preserve">au niveau des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épididymes </w:t>
      </w:r>
      <w:r>
        <w:rPr>
          <w:rFonts w:asciiTheme="majorBidi" w:hAnsiTheme="majorBidi" w:cstheme="majorBidi"/>
          <w:sz w:val="24"/>
          <w:szCs w:val="24"/>
        </w:rPr>
        <w:t xml:space="preserve">de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Meriones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libycus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et de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Meriones</w:t>
      </w:r>
      <w:proofErr w:type="spellEnd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shawi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pendant la période de </w:t>
      </w:r>
      <w:r>
        <w:rPr>
          <w:rFonts w:asciiTheme="majorBidi" w:hAnsiTheme="majorBidi" w:cstheme="majorBidi"/>
          <w:b/>
          <w:bCs/>
          <w:sz w:val="24"/>
          <w:szCs w:val="24"/>
        </w:rPr>
        <w:t>reproduction.</w:t>
      </w:r>
    </w:p>
    <w:p w:rsidR="00856379" w:rsidRDefault="00856379" w:rsidP="008563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856379" w:rsidRDefault="00856379" w:rsidP="008563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Mots clés</w:t>
      </w:r>
      <w:r>
        <w:rPr>
          <w:rFonts w:asciiTheme="majorBidi" w:hAnsiTheme="majorBidi" w:cstheme="majorBidi"/>
          <w:sz w:val="24"/>
          <w:szCs w:val="24"/>
        </w:rPr>
        <w:t xml:space="preserve">: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Psammomys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obesus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;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Meriones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libycus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>;</w:t>
      </w:r>
      <w:r>
        <w:rPr>
          <w:rFonts w:asciiTheme="majorBidi" w:hAnsiTheme="majorBidi" w:cstheme="majorBidi"/>
          <w:sz w:val="24"/>
          <w:szCs w:val="24"/>
        </w:rPr>
        <w:t xml:space="preserve"> 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Meriones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shawi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 xml:space="preserve">; </w:t>
      </w:r>
      <w:r>
        <w:rPr>
          <w:rFonts w:asciiTheme="majorBidi" w:hAnsiTheme="majorBidi" w:cstheme="majorBidi"/>
          <w:sz w:val="24"/>
          <w:szCs w:val="24"/>
        </w:rPr>
        <w:t xml:space="preserve">vésicules séminales;  épididymes; SDS-PAGE; </w:t>
      </w:r>
      <w:proofErr w:type="spellStart"/>
      <w:r>
        <w:rPr>
          <w:rFonts w:asciiTheme="majorBidi" w:hAnsiTheme="majorBidi" w:cstheme="majorBidi"/>
          <w:sz w:val="24"/>
          <w:szCs w:val="24"/>
        </w:rPr>
        <w:t>zymographie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; </w:t>
      </w:r>
      <w:proofErr w:type="spellStart"/>
      <w:r>
        <w:rPr>
          <w:rFonts w:asciiTheme="majorBidi" w:hAnsiTheme="majorBidi" w:cstheme="majorBidi"/>
          <w:sz w:val="24"/>
          <w:szCs w:val="24"/>
        </w:rPr>
        <w:t>transgeline</w:t>
      </w:r>
      <w:proofErr w:type="spellEnd"/>
      <w:r>
        <w:rPr>
          <w:rFonts w:asciiTheme="majorBidi" w:hAnsiTheme="majorBidi" w:cstheme="majorBidi"/>
          <w:sz w:val="24"/>
          <w:szCs w:val="24"/>
        </w:rPr>
        <w:t>; MMP-9; MMP-3; MMP-13.</w:t>
      </w:r>
    </w:p>
    <w:p w:rsidR="00B70BFE" w:rsidRDefault="00B70BFE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Default="00856379">
      <w:pPr>
        <w:rPr>
          <w:rFonts w:asciiTheme="majorBidi" w:hAnsiTheme="majorBidi" w:cstheme="majorBidi"/>
        </w:rPr>
      </w:pPr>
    </w:p>
    <w:p w:rsidR="00856379" w:rsidRPr="00856379" w:rsidRDefault="00856379" w:rsidP="00856379">
      <w:pPr>
        <w:rPr>
          <w:rFonts w:asciiTheme="majorBidi" w:hAnsiTheme="majorBidi" w:cstheme="majorBidi"/>
          <w:b/>
          <w:bCs/>
        </w:rPr>
      </w:pPr>
    </w:p>
    <w:p w:rsidR="00856379" w:rsidRPr="00856379" w:rsidRDefault="00856379">
      <w:pPr>
        <w:rPr>
          <w:rFonts w:asciiTheme="majorBidi" w:hAnsiTheme="majorBidi" w:cstheme="majorBidi"/>
        </w:rPr>
      </w:pPr>
    </w:p>
    <w:sectPr w:rsidR="00856379" w:rsidRPr="00856379" w:rsidSect="00B70B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856379"/>
    <w:rsid w:val="006C5156"/>
    <w:rsid w:val="007E27ED"/>
    <w:rsid w:val="00856379"/>
    <w:rsid w:val="00B70BFE"/>
    <w:rsid w:val="00CD49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6379"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563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5637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83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89F87E-108E-4183-B272-D352E89A4B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159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ENTOMOSH</Company>
  <LinksUpToDate>false</LinksUpToDate>
  <CharactersWithSpaces>1033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USER1</cp:lastModifiedBy>
  <cp:revision>1</cp:revision>
  <dcterms:created xsi:type="dcterms:W3CDTF">2014-07-15T13:23:00Z</dcterms:created>
  <dcterms:modified xsi:type="dcterms:W3CDTF">2014-07-15T13:40:00Z</dcterms:modified>
</cp:coreProperties>
</file>