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69EB" w:rsidRDefault="006D69EB" w:rsidP="006D69EB">
      <w:pPr>
        <w:tabs>
          <w:tab w:val="left" w:pos="1365"/>
        </w:tabs>
        <w:jc w:val="both"/>
        <w:rPr>
          <w:rFonts w:ascii="Times New Roman" w:hAnsi="Times New Roman" w:cs="Times New Roman"/>
          <w:b/>
          <w:sz w:val="24"/>
          <w:szCs w:val="24"/>
        </w:rPr>
      </w:pPr>
      <w:r w:rsidRPr="0030007E">
        <w:rPr>
          <w:rFonts w:ascii="Times New Roman" w:hAnsi="Times New Roman" w:cs="Times New Roman"/>
          <w:b/>
          <w:sz w:val="24"/>
          <w:szCs w:val="24"/>
        </w:rPr>
        <w:t>RESUME</w:t>
      </w:r>
    </w:p>
    <w:p w:rsidR="006D69EB" w:rsidRDefault="006D69EB" w:rsidP="006D69EB">
      <w:pPr>
        <w:tabs>
          <w:tab w:val="left" w:pos="1365"/>
        </w:tabs>
        <w:jc w:val="both"/>
        <w:rPr>
          <w:rFonts w:ascii="Times New Roman" w:hAnsi="Times New Roman" w:cs="Times New Roman"/>
          <w:b/>
          <w:sz w:val="24"/>
          <w:szCs w:val="24"/>
        </w:rPr>
      </w:pPr>
    </w:p>
    <w:p w:rsidR="006D69EB" w:rsidRDefault="006D69EB" w:rsidP="006D69EB">
      <w:pPr>
        <w:tabs>
          <w:tab w:val="left" w:pos="1365"/>
        </w:tabs>
        <w:jc w:val="both"/>
        <w:rPr>
          <w:rFonts w:ascii="Times New Roman" w:hAnsi="Times New Roman" w:cs="Times New Roman"/>
          <w:sz w:val="24"/>
          <w:szCs w:val="24"/>
        </w:rPr>
      </w:pPr>
      <w:r w:rsidRPr="00CA32D6">
        <w:rPr>
          <w:rFonts w:ascii="Times New Roman" w:hAnsi="Times New Roman" w:cs="Times New Roman"/>
          <w:sz w:val="24"/>
          <w:szCs w:val="24"/>
        </w:rPr>
        <w:t xml:space="preserve">La maladie de Crohn est une </w:t>
      </w:r>
      <w:r>
        <w:rPr>
          <w:rFonts w:ascii="Times New Roman" w:hAnsi="Times New Roman" w:cs="Times New Roman"/>
          <w:sz w:val="24"/>
          <w:szCs w:val="24"/>
        </w:rPr>
        <w:t xml:space="preserve">affection </w:t>
      </w:r>
      <w:r w:rsidRPr="00CA32D6">
        <w:rPr>
          <w:rFonts w:ascii="Times New Roman" w:hAnsi="Times New Roman" w:cs="Times New Roman"/>
          <w:sz w:val="24"/>
          <w:szCs w:val="24"/>
        </w:rPr>
        <w:t xml:space="preserve"> chronique</w:t>
      </w:r>
      <w:r>
        <w:rPr>
          <w:rFonts w:ascii="Times New Roman" w:hAnsi="Times New Roman" w:cs="Times New Roman"/>
          <w:sz w:val="24"/>
          <w:szCs w:val="24"/>
        </w:rPr>
        <w:t xml:space="preserve">, invalidante </w:t>
      </w:r>
      <w:r w:rsidRPr="00CA32D6">
        <w:rPr>
          <w:rFonts w:ascii="Times New Roman" w:hAnsi="Times New Roman" w:cs="Times New Roman"/>
          <w:sz w:val="24"/>
          <w:szCs w:val="24"/>
        </w:rPr>
        <w:t xml:space="preserve">touchant le tractus gastro-intestinal </w:t>
      </w:r>
      <w:r>
        <w:rPr>
          <w:rFonts w:ascii="Times New Roman" w:hAnsi="Times New Roman" w:cs="Times New Roman"/>
          <w:sz w:val="24"/>
          <w:szCs w:val="24"/>
        </w:rPr>
        <w:t xml:space="preserve">des adultes jeunes. </w:t>
      </w:r>
    </w:p>
    <w:p w:rsidR="006D69EB" w:rsidRDefault="006D69EB" w:rsidP="006D69EB">
      <w:pPr>
        <w:tabs>
          <w:tab w:val="left" w:pos="1365"/>
        </w:tabs>
        <w:jc w:val="both"/>
        <w:rPr>
          <w:rFonts w:ascii="Times New Roman" w:hAnsi="Times New Roman" w:cs="Times New Roman"/>
          <w:sz w:val="24"/>
          <w:szCs w:val="24"/>
        </w:rPr>
      </w:pPr>
      <w:r w:rsidRPr="00262770">
        <w:rPr>
          <w:rFonts w:ascii="Times New Roman" w:hAnsi="Times New Roman" w:cs="Times New Roman"/>
          <w:sz w:val="24"/>
          <w:szCs w:val="24"/>
        </w:rPr>
        <w:t xml:space="preserve">L’infiltration et l’activation des macrophages de la muqueuse colique </w:t>
      </w:r>
      <w:r w:rsidR="005E6D13">
        <w:rPr>
          <w:rFonts w:ascii="Times New Roman" w:hAnsi="Times New Roman" w:cs="Times New Roman"/>
          <w:sz w:val="24"/>
          <w:szCs w:val="24"/>
        </w:rPr>
        <w:t>sont</w:t>
      </w:r>
      <w:r w:rsidRPr="00262770">
        <w:rPr>
          <w:rFonts w:ascii="Times New Roman" w:hAnsi="Times New Roman" w:cs="Times New Roman"/>
          <w:sz w:val="24"/>
          <w:szCs w:val="24"/>
        </w:rPr>
        <w:t xml:space="preserve"> </w:t>
      </w:r>
      <w:r w:rsidR="005E6D13">
        <w:rPr>
          <w:rFonts w:ascii="Times New Roman" w:hAnsi="Times New Roman" w:cs="Times New Roman"/>
          <w:sz w:val="24"/>
          <w:szCs w:val="24"/>
        </w:rPr>
        <w:t>les</w:t>
      </w:r>
      <w:r w:rsidRPr="00262770">
        <w:rPr>
          <w:rFonts w:ascii="Times New Roman" w:hAnsi="Times New Roman" w:cs="Times New Roman"/>
          <w:sz w:val="24"/>
          <w:szCs w:val="24"/>
        </w:rPr>
        <w:t xml:space="preserve"> caractéristique</w:t>
      </w:r>
      <w:r w:rsidR="005E6D13">
        <w:rPr>
          <w:rFonts w:ascii="Times New Roman" w:hAnsi="Times New Roman" w:cs="Times New Roman"/>
          <w:sz w:val="24"/>
          <w:szCs w:val="24"/>
        </w:rPr>
        <w:t>s</w:t>
      </w:r>
      <w:r w:rsidRPr="00262770">
        <w:rPr>
          <w:rFonts w:ascii="Times New Roman" w:hAnsi="Times New Roman" w:cs="Times New Roman"/>
          <w:sz w:val="24"/>
          <w:szCs w:val="24"/>
        </w:rPr>
        <w:t xml:space="preserve"> centrale</w:t>
      </w:r>
      <w:r w:rsidR="005E6D13">
        <w:rPr>
          <w:rFonts w:ascii="Times New Roman" w:hAnsi="Times New Roman" w:cs="Times New Roman"/>
          <w:sz w:val="24"/>
          <w:szCs w:val="24"/>
        </w:rPr>
        <w:t>s</w:t>
      </w:r>
      <w:r w:rsidRPr="00262770">
        <w:rPr>
          <w:rFonts w:ascii="Times New Roman" w:hAnsi="Times New Roman" w:cs="Times New Roman"/>
          <w:sz w:val="24"/>
          <w:szCs w:val="24"/>
        </w:rPr>
        <w:t xml:space="preserve"> </w:t>
      </w:r>
      <w:r>
        <w:rPr>
          <w:rFonts w:ascii="Times New Roman" w:hAnsi="Times New Roman" w:cs="Times New Roman"/>
          <w:sz w:val="24"/>
          <w:szCs w:val="24"/>
        </w:rPr>
        <w:t xml:space="preserve">de cette pathologie. Dans cette étude </w:t>
      </w:r>
      <w:r w:rsidRPr="00262770">
        <w:rPr>
          <w:rFonts w:ascii="Times New Roman" w:hAnsi="Times New Roman" w:cs="Times New Roman"/>
          <w:sz w:val="24"/>
          <w:szCs w:val="24"/>
        </w:rPr>
        <w:t xml:space="preserve"> l’effet protecteur et curatif du gadolinium (GdCl</w:t>
      </w:r>
      <w:r w:rsidRPr="00262770">
        <w:rPr>
          <w:rFonts w:ascii="Times New Roman" w:hAnsi="Times New Roman" w:cs="Times New Roman"/>
          <w:sz w:val="24"/>
          <w:szCs w:val="24"/>
          <w:vertAlign w:val="subscript"/>
        </w:rPr>
        <w:t>3</w:t>
      </w:r>
      <w:r w:rsidRPr="00262770">
        <w:rPr>
          <w:rFonts w:ascii="Times New Roman" w:hAnsi="Times New Roman" w:cs="Times New Roman"/>
          <w:sz w:val="24"/>
          <w:szCs w:val="24"/>
        </w:rPr>
        <w:t>)</w:t>
      </w:r>
      <w:r>
        <w:rPr>
          <w:rFonts w:ascii="Times New Roman" w:hAnsi="Times New Roman" w:cs="Times New Roman"/>
          <w:sz w:val="24"/>
          <w:szCs w:val="24"/>
        </w:rPr>
        <w:t>, un inhibiteur sé</w:t>
      </w:r>
      <w:r w:rsidRPr="00262770">
        <w:rPr>
          <w:rFonts w:ascii="Times New Roman" w:hAnsi="Times New Roman" w:cs="Times New Roman"/>
          <w:sz w:val="24"/>
          <w:szCs w:val="24"/>
        </w:rPr>
        <w:t xml:space="preserve">lectif des macrophages </w:t>
      </w:r>
      <w:r>
        <w:rPr>
          <w:rFonts w:ascii="Times New Roman" w:hAnsi="Times New Roman" w:cs="Times New Roman"/>
          <w:sz w:val="24"/>
          <w:szCs w:val="24"/>
        </w:rPr>
        <w:t>a été utilisé dans deux modèles de colite, une colite aiguë de 24 h induite par l’acide acétique (5 %) et une chronique au TNBS 15 mg Kg</w:t>
      </w:r>
      <w:r w:rsidRPr="00EC59B5">
        <w:rPr>
          <w:rFonts w:ascii="Times New Roman" w:hAnsi="Times New Roman" w:cs="Times New Roman"/>
          <w:sz w:val="24"/>
          <w:szCs w:val="24"/>
          <w:vertAlign w:val="superscript"/>
        </w:rPr>
        <w:t>-1</w:t>
      </w:r>
      <w:r>
        <w:rPr>
          <w:rFonts w:ascii="Times New Roman" w:hAnsi="Times New Roman" w:cs="Times New Roman"/>
          <w:sz w:val="24"/>
          <w:szCs w:val="24"/>
        </w:rPr>
        <w:t xml:space="preserve"> hebdomadaire pendant 5 semaines par voie intra-rectale. Le TNBS provoque une colite au profil immunologique similaire à la maladie de Crohn. En parallèle, l’implication du stress a été étudiée par des inhibiteurs sélectifs de l’iNOS </w:t>
      </w:r>
      <w:r w:rsidRPr="00262770">
        <w:rPr>
          <w:rFonts w:ascii="Times New Roman" w:hAnsi="Times New Roman" w:cs="Times New Roman"/>
          <w:sz w:val="24"/>
          <w:szCs w:val="24"/>
        </w:rPr>
        <w:t>aminoguanidine</w:t>
      </w:r>
      <w:r>
        <w:rPr>
          <w:rFonts w:ascii="Times New Roman" w:hAnsi="Times New Roman" w:cs="Times New Roman"/>
          <w:sz w:val="24"/>
          <w:szCs w:val="24"/>
        </w:rPr>
        <w:t xml:space="preserve"> (AG) 30 mg Kg</w:t>
      </w:r>
      <w:r w:rsidRPr="00EC59B5">
        <w:rPr>
          <w:rFonts w:ascii="Times New Roman" w:hAnsi="Times New Roman" w:cs="Times New Roman"/>
          <w:sz w:val="24"/>
          <w:szCs w:val="24"/>
          <w:vertAlign w:val="superscript"/>
        </w:rPr>
        <w:t>-1</w:t>
      </w:r>
      <w:r>
        <w:rPr>
          <w:rFonts w:ascii="Times New Roman" w:hAnsi="Times New Roman" w:cs="Times New Roman"/>
          <w:sz w:val="24"/>
          <w:szCs w:val="24"/>
        </w:rPr>
        <w:t xml:space="preserve"> et </w:t>
      </w:r>
      <w:r w:rsidRPr="00262770">
        <w:rPr>
          <w:rFonts w:ascii="Times New Roman" w:hAnsi="Times New Roman" w:cs="Times New Roman"/>
          <w:sz w:val="24"/>
          <w:szCs w:val="24"/>
        </w:rPr>
        <w:t xml:space="preserve"> </w:t>
      </w:r>
      <w:r>
        <w:rPr>
          <w:rFonts w:ascii="Times New Roman" w:hAnsi="Times New Roman" w:cs="Times New Roman"/>
          <w:sz w:val="24"/>
          <w:szCs w:val="24"/>
        </w:rPr>
        <w:t>de la NOX2 apocynine (Apo) 20</w:t>
      </w:r>
      <w:r w:rsidRPr="00EC59B5">
        <w:rPr>
          <w:rFonts w:ascii="Times New Roman" w:hAnsi="Times New Roman" w:cs="Times New Roman"/>
          <w:sz w:val="24"/>
          <w:szCs w:val="24"/>
        </w:rPr>
        <w:t xml:space="preserve"> </w:t>
      </w:r>
      <w:r>
        <w:rPr>
          <w:rFonts w:ascii="Times New Roman" w:hAnsi="Times New Roman" w:cs="Times New Roman"/>
          <w:sz w:val="24"/>
          <w:szCs w:val="24"/>
        </w:rPr>
        <w:t>mg Kg</w:t>
      </w:r>
      <w:r w:rsidRPr="00EC59B5">
        <w:rPr>
          <w:rFonts w:ascii="Times New Roman" w:hAnsi="Times New Roman" w:cs="Times New Roman"/>
          <w:sz w:val="24"/>
          <w:szCs w:val="24"/>
          <w:vertAlign w:val="superscript"/>
        </w:rPr>
        <w:t>-1</w:t>
      </w:r>
      <w:r>
        <w:rPr>
          <w:rFonts w:ascii="Times New Roman" w:hAnsi="Times New Roman" w:cs="Times New Roman"/>
          <w:sz w:val="24"/>
          <w:szCs w:val="24"/>
        </w:rPr>
        <w:t xml:space="preserve">. Des paramètres du stress oxydatif ont été dosés dans les homogénats de côlons et de foie ainsi qu’une étude histologique du tissu colique. L’AA et le TNBS provoquent des dommages tissulaires et augmentent la Myélopéroxydase (MPO), index de l’infiltration leucocytaire colique et hépatique.  En revanche,  </w:t>
      </w:r>
      <w:r w:rsidRPr="00A60E61">
        <w:rPr>
          <w:rFonts w:ascii="Times New Roman" w:hAnsi="Times New Roman" w:cs="Times New Roman"/>
          <w:sz w:val="24"/>
          <w:szCs w:val="24"/>
        </w:rPr>
        <w:t>GdCl</w:t>
      </w:r>
      <w:r w:rsidRPr="00A60E61">
        <w:rPr>
          <w:rFonts w:ascii="Times New Roman" w:hAnsi="Times New Roman" w:cs="Times New Roman"/>
          <w:sz w:val="24"/>
          <w:szCs w:val="24"/>
          <w:vertAlign w:val="subscript"/>
        </w:rPr>
        <w:t>3</w:t>
      </w:r>
      <w:r w:rsidRPr="00A60E61">
        <w:rPr>
          <w:rFonts w:ascii="Times New Roman" w:hAnsi="Times New Roman" w:cs="Times New Roman"/>
          <w:sz w:val="24"/>
          <w:szCs w:val="24"/>
        </w:rPr>
        <w:t>, AG, Apo</w:t>
      </w:r>
      <w:r>
        <w:rPr>
          <w:rFonts w:ascii="Times New Roman" w:hAnsi="Times New Roman" w:cs="Times New Roman"/>
          <w:sz w:val="24"/>
          <w:szCs w:val="24"/>
        </w:rPr>
        <w:t xml:space="preserve"> atténuent les marqueurs du stress MPO, malondialdéhyde (MDA), nitrites (NO</w:t>
      </w:r>
      <w:r w:rsidRPr="009F69BB">
        <w:rPr>
          <w:rFonts w:ascii="Times New Roman" w:hAnsi="Times New Roman" w:cs="Times New Roman"/>
          <w:sz w:val="24"/>
          <w:szCs w:val="24"/>
          <w:vertAlign w:val="subscript"/>
        </w:rPr>
        <w:t>2</w:t>
      </w:r>
      <w:r w:rsidRPr="009F69BB">
        <w:rPr>
          <w:rFonts w:ascii="Times New Roman" w:hAnsi="Times New Roman" w:cs="Times New Roman"/>
          <w:sz w:val="24"/>
          <w:szCs w:val="24"/>
          <w:vertAlign w:val="superscript"/>
        </w:rPr>
        <w:t>-</w:t>
      </w:r>
      <w:r>
        <w:rPr>
          <w:rFonts w:ascii="Times New Roman" w:hAnsi="Times New Roman" w:cs="Times New Roman"/>
          <w:sz w:val="24"/>
          <w:szCs w:val="24"/>
          <w:vertAlign w:val="superscript"/>
        </w:rPr>
        <w:t xml:space="preserve"> </w:t>
      </w:r>
      <w:r>
        <w:rPr>
          <w:rFonts w:ascii="Times New Roman" w:hAnsi="Times New Roman" w:cs="Times New Roman"/>
          <w:sz w:val="24"/>
          <w:szCs w:val="24"/>
        </w:rPr>
        <w:t>/NO</w:t>
      </w:r>
      <w:r w:rsidRPr="009F69BB">
        <w:rPr>
          <w:rFonts w:ascii="Times New Roman" w:hAnsi="Times New Roman" w:cs="Times New Roman"/>
          <w:sz w:val="24"/>
          <w:szCs w:val="24"/>
          <w:vertAlign w:val="subscript"/>
        </w:rPr>
        <w:t>3</w:t>
      </w:r>
      <w:r w:rsidRPr="009F69BB">
        <w:rPr>
          <w:rFonts w:ascii="Times New Roman" w:hAnsi="Times New Roman" w:cs="Times New Roman"/>
          <w:sz w:val="24"/>
          <w:szCs w:val="24"/>
          <w:vertAlign w:val="superscript"/>
        </w:rPr>
        <w:t>-</w:t>
      </w:r>
      <w:r>
        <w:rPr>
          <w:rFonts w:ascii="Times New Roman" w:hAnsi="Times New Roman" w:cs="Times New Roman"/>
          <w:sz w:val="24"/>
          <w:szCs w:val="24"/>
        </w:rPr>
        <w:t xml:space="preserve">) et augmentent le glutathion (GSH) et catalase. Le </w:t>
      </w:r>
      <w:r w:rsidRPr="003B0128">
        <w:rPr>
          <w:rFonts w:ascii="Times New Roman" w:hAnsi="Times New Roman" w:cs="Times New Roman"/>
          <w:sz w:val="24"/>
          <w:szCs w:val="24"/>
        </w:rPr>
        <w:t>GdCl</w:t>
      </w:r>
      <w:r w:rsidRPr="003B0128">
        <w:rPr>
          <w:rFonts w:ascii="Times New Roman" w:hAnsi="Times New Roman" w:cs="Times New Roman"/>
          <w:sz w:val="24"/>
          <w:szCs w:val="24"/>
          <w:vertAlign w:val="subscript"/>
        </w:rPr>
        <w:t>3</w:t>
      </w:r>
      <w:r w:rsidRPr="003B0128">
        <w:rPr>
          <w:rFonts w:ascii="Times New Roman" w:hAnsi="Times New Roman" w:cs="Times New Roman"/>
          <w:sz w:val="24"/>
          <w:szCs w:val="24"/>
        </w:rPr>
        <w:t xml:space="preserve"> </w:t>
      </w:r>
      <w:r>
        <w:rPr>
          <w:rFonts w:ascii="Times New Roman" w:hAnsi="Times New Roman" w:cs="Times New Roman"/>
          <w:sz w:val="24"/>
          <w:szCs w:val="24"/>
        </w:rPr>
        <w:t xml:space="preserve">a prouvé  un puissant effet anti-inflammatoire et antioxydant dans </w:t>
      </w:r>
      <w:r w:rsidRPr="003B0128">
        <w:rPr>
          <w:rFonts w:ascii="Times New Roman" w:hAnsi="Times New Roman" w:cs="Times New Roman"/>
          <w:sz w:val="24"/>
          <w:szCs w:val="24"/>
        </w:rPr>
        <w:t xml:space="preserve"> la colite aiguë et chronique</w:t>
      </w:r>
      <w:r>
        <w:rPr>
          <w:rFonts w:ascii="Times New Roman" w:hAnsi="Times New Roman" w:cs="Times New Roman"/>
          <w:sz w:val="24"/>
          <w:szCs w:val="24"/>
        </w:rPr>
        <w:t xml:space="preserve"> comparable à l’Apo et AG</w:t>
      </w:r>
      <w:r w:rsidRPr="003B0128">
        <w:rPr>
          <w:rFonts w:ascii="Times New Roman" w:hAnsi="Times New Roman" w:cs="Times New Roman"/>
          <w:sz w:val="24"/>
          <w:szCs w:val="24"/>
        </w:rPr>
        <w:t>.</w:t>
      </w:r>
      <w:r>
        <w:rPr>
          <w:rFonts w:ascii="Times New Roman" w:hAnsi="Times New Roman" w:cs="Times New Roman"/>
          <w:sz w:val="24"/>
          <w:szCs w:val="24"/>
        </w:rPr>
        <w:t xml:space="preserve"> </w:t>
      </w:r>
      <w:r w:rsidRPr="001B76FF">
        <w:rPr>
          <w:rFonts w:ascii="Times New Roman" w:hAnsi="Times New Roman" w:cs="Times New Roman"/>
          <w:sz w:val="24"/>
          <w:szCs w:val="24"/>
        </w:rPr>
        <w:t>L’ensemble des résultats, suggèren</w:t>
      </w:r>
      <w:r>
        <w:rPr>
          <w:rFonts w:ascii="Times New Roman" w:hAnsi="Times New Roman" w:cs="Times New Roman"/>
          <w:sz w:val="24"/>
          <w:szCs w:val="24"/>
        </w:rPr>
        <w:t>t</w:t>
      </w:r>
      <w:r w:rsidRPr="001B76FF">
        <w:rPr>
          <w:rFonts w:ascii="Times New Roman" w:hAnsi="Times New Roman" w:cs="Times New Roman"/>
          <w:sz w:val="24"/>
          <w:szCs w:val="24"/>
        </w:rPr>
        <w:t xml:space="preserve"> l’</w:t>
      </w:r>
      <w:r>
        <w:rPr>
          <w:rFonts w:ascii="Times New Roman" w:hAnsi="Times New Roman" w:cs="Times New Roman"/>
          <w:sz w:val="24"/>
          <w:szCs w:val="24"/>
        </w:rPr>
        <w:t xml:space="preserve">implication du stress oxydatif dans ces pathologies. </w:t>
      </w:r>
    </w:p>
    <w:p w:rsidR="006D69EB" w:rsidRDefault="006D69EB" w:rsidP="006D69EB">
      <w:pPr>
        <w:tabs>
          <w:tab w:val="left" w:pos="1365"/>
        </w:tabs>
        <w:jc w:val="both"/>
        <w:rPr>
          <w:rFonts w:ascii="Times New Roman" w:hAnsi="Times New Roman" w:cs="Times New Roman"/>
          <w:sz w:val="24"/>
          <w:szCs w:val="24"/>
        </w:rPr>
      </w:pPr>
      <w:r>
        <w:rPr>
          <w:rFonts w:ascii="Times New Roman" w:hAnsi="Times New Roman" w:cs="Times New Roman"/>
          <w:sz w:val="24"/>
          <w:szCs w:val="24"/>
        </w:rPr>
        <w:t xml:space="preserve">L’inhibition des macrophages et par conséquent la diminution de leur activité fonctionnelle telles que la libération des cytokines, activation de l’iNOS et autres médiateurs pro-inflammatoires est probablement à l’origine de cette rémission. De plus, la diminution des espèces réactives de l’oxygène ou azote (ROS/RNS) induit une inhibition de la voie MAP Kinase-redox sensibles, p38 MAPK, ERK1/2 et JNK explique ces effets protecteurs et curatifs. </w:t>
      </w:r>
    </w:p>
    <w:p w:rsidR="006D69EB" w:rsidRDefault="006D69EB" w:rsidP="006D69EB">
      <w:pPr>
        <w:tabs>
          <w:tab w:val="left" w:pos="1365"/>
        </w:tabs>
        <w:jc w:val="both"/>
        <w:rPr>
          <w:rFonts w:ascii="Times New Roman" w:hAnsi="Times New Roman" w:cs="Times New Roman"/>
          <w:sz w:val="24"/>
          <w:szCs w:val="24"/>
        </w:rPr>
      </w:pPr>
      <w:r>
        <w:rPr>
          <w:rFonts w:ascii="Times New Roman" w:hAnsi="Times New Roman" w:cs="Times New Roman"/>
          <w:sz w:val="24"/>
          <w:szCs w:val="24"/>
        </w:rPr>
        <w:t>D’autres études seraient nécessaires afin de déterminer le mécanisme d’action du Gd</w:t>
      </w:r>
      <w:r w:rsidRPr="003B0128">
        <w:rPr>
          <w:rFonts w:ascii="Times New Roman" w:hAnsi="Times New Roman" w:cs="Times New Roman"/>
          <w:sz w:val="24"/>
          <w:szCs w:val="24"/>
        </w:rPr>
        <w:t>Cl</w:t>
      </w:r>
      <w:r w:rsidRPr="003B0128">
        <w:rPr>
          <w:rFonts w:ascii="Times New Roman" w:hAnsi="Times New Roman" w:cs="Times New Roman"/>
          <w:sz w:val="24"/>
          <w:szCs w:val="24"/>
          <w:vertAlign w:val="subscript"/>
        </w:rPr>
        <w:t>3</w:t>
      </w:r>
      <w:r w:rsidR="009B5153">
        <w:rPr>
          <w:rFonts w:ascii="Times New Roman" w:hAnsi="Times New Roman" w:cs="Times New Roman"/>
          <w:sz w:val="24"/>
          <w:szCs w:val="24"/>
          <w:vertAlign w:val="subscript"/>
        </w:rPr>
        <w:t xml:space="preserve"> </w:t>
      </w:r>
      <w:r w:rsidR="009B5153">
        <w:rPr>
          <w:rFonts w:ascii="Times New Roman" w:hAnsi="Times New Roman" w:cs="Times New Roman"/>
          <w:sz w:val="24"/>
          <w:szCs w:val="24"/>
        </w:rPr>
        <w:t>et l’implication d’autres NOXs.</w:t>
      </w:r>
      <w:bookmarkStart w:id="0" w:name="_GoBack"/>
      <w:bookmarkEnd w:id="0"/>
    </w:p>
    <w:p w:rsidR="006D69EB" w:rsidRPr="005225C1" w:rsidRDefault="006D69EB" w:rsidP="006D69EB">
      <w:pPr>
        <w:tabs>
          <w:tab w:val="left" w:pos="1365"/>
        </w:tabs>
        <w:jc w:val="both"/>
        <w:rPr>
          <w:rFonts w:ascii="Times New Roman" w:hAnsi="Times New Roman" w:cs="Times New Roman"/>
          <w:b/>
          <w:sz w:val="24"/>
          <w:szCs w:val="24"/>
        </w:rPr>
      </w:pPr>
      <w:r w:rsidRPr="005225C1">
        <w:rPr>
          <w:rFonts w:ascii="Times New Roman" w:hAnsi="Times New Roman" w:cs="Times New Roman"/>
          <w:b/>
          <w:sz w:val="24"/>
          <w:szCs w:val="24"/>
        </w:rPr>
        <w:t>Mots clés:</w:t>
      </w:r>
      <w:r w:rsidRPr="006A42D3">
        <w:rPr>
          <w:rFonts w:ascii="Times New Roman" w:hAnsi="Times New Roman" w:cs="Times New Roman"/>
          <w:b/>
          <w:sz w:val="24"/>
          <w:szCs w:val="24"/>
        </w:rPr>
        <w:t xml:space="preserve"> </w:t>
      </w:r>
      <w:r>
        <w:rPr>
          <w:rFonts w:ascii="Times New Roman" w:hAnsi="Times New Roman" w:cs="Times New Roman"/>
          <w:b/>
          <w:sz w:val="24"/>
          <w:szCs w:val="24"/>
        </w:rPr>
        <w:t>Crohn, IBD, TNBS, iNOS, NOX.</w:t>
      </w:r>
    </w:p>
    <w:p w:rsidR="006D69EB" w:rsidRPr="001B76FF" w:rsidRDefault="006D69EB" w:rsidP="006D69EB">
      <w:pPr>
        <w:tabs>
          <w:tab w:val="left" w:pos="1365"/>
        </w:tabs>
        <w:rPr>
          <w:rFonts w:ascii="Times New Roman" w:hAnsi="Times New Roman" w:cs="Times New Roman"/>
          <w:sz w:val="24"/>
          <w:szCs w:val="24"/>
        </w:rPr>
      </w:pPr>
    </w:p>
    <w:p w:rsidR="00A205C9" w:rsidRDefault="00A205C9"/>
    <w:sectPr w:rsidR="00A205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9EB"/>
    <w:rsid w:val="00004765"/>
    <w:rsid w:val="00020E70"/>
    <w:rsid w:val="00022C70"/>
    <w:rsid w:val="00023D44"/>
    <w:rsid w:val="00062B15"/>
    <w:rsid w:val="00076A8D"/>
    <w:rsid w:val="00152DA4"/>
    <w:rsid w:val="00187869"/>
    <w:rsid w:val="001C4904"/>
    <w:rsid w:val="002E75E1"/>
    <w:rsid w:val="003114F1"/>
    <w:rsid w:val="0033235F"/>
    <w:rsid w:val="00335BC7"/>
    <w:rsid w:val="00367B51"/>
    <w:rsid w:val="00422071"/>
    <w:rsid w:val="004252DC"/>
    <w:rsid w:val="004E3BA7"/>
    <w:rsid w:val="00501DD3"/>
    <w:rsid w:val="0053024E"/>
    <w:rsid w:val="005370D2"/>
    <w:rsid w:val="00572D58"/>
    <w:rsid w:val="005E49D1"/>
    <w:rsid w:val="005E6D13"/>
    <w:rsid w:val="006359DD"/>
    <w:rsid w:val="0064702D"/>
    <w:rsid w:val="006D69EB"/>
    <w:rsid w:val="007057C9"/>
    <w:rsid w:val="00737138"/>
    <w:rsid w:val="00777B26"/>
    <w:rsid w:val="0084780D"/>
    <w:rsid w:val="00874215"/>
    <w:rsid w:val="00901BEF"/>
    <w:rsid w:val="00902B61"/>
    <w:rsid w:val="00975ADD"/>
    <w:rsid w:val="00984411"/>
    <w:rsid w:val="009A78F0"/>
    <w:rsid w:val="009B5153"/>
    <w:rsid w:val="00A13662"/>
    <w:rsid w:val="00A205C9"/>
    <w:rsid w:val="00A52ED8"/>
    <w:rsid w:val="00AF4492"/>
    <w:rsid w:val="00B21F00"/>
    <w:rsid w:val="00B419CF"/>
    <w:rsid w:val="00B72022"/>
    <w:rsid w:val="00B92878"/>
    <w:rsid w:val="00B93027"/>
    <w:rsid w:val="00BA66A6"/>
    <w:rsid w:val="00BE1081"/>
    <w:rsid w:val="00C54CE0"/>
    <w:rsid w:val="00C5768C"/>
    <w:rsid w:val="00C75A11"/>
    <w:rsid w:val="00ED09D7"/>
    <w:rsid w:val="00FC21E9"/>
    <w:rsid w:val="00FD020C"/>
    <w:rsid w:val="00FE605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69E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69E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322</Words>
  <Characters>1776</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Sarah</cp:lastModifiedBy>
  <cp:revision>3</cp:revision>
  <cp:lastPrinted>2015-01-06T05:49:00Z</cp:lastPrinted>
  <dcterms:created xsi:type="dcterms:W3CDTF">2014-10-19T07:18:00Z</dcterms:created>
  <dcterms:modified xsi:type="dcterms:W3CDTF">2015-01-06T05:49:00Z</dcterms:modified>
</cp:coreProperties>
</file>