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4EAC" w:rsidRPr="00E46CBC" w:rsidRDefault="00E64EAC" w:rsidP="00E64EAC">
      <w:pPr>
        <w:jc w:val="center"/>
        <w:rPr>
          <w:rFonts w:asciiTheme="majorBidi" w:hAnsiTheme="majorBidi" w:cstheme="majorBidi"/>
          <w:b/>
          <w:bCs/>
          <w:sz w:val="28"/>
          <w:szCs w:val="28"/>
        </w:rPr>
      </w:pPr>
      <w:r w:rsidRPr="00E46CBC">
        <w:rPr>
          <w:rFonts w:asciiTheme="majorBidi" w:hAnsiTheme="majorBidi" w:cstheme="majorBidi"/>
          <w:b/>
          <w:bCs/>
          <w:sz w:val="28"/>
          <w:szCs w:val="28"/>
        </w:rPr>
        <w:t>RESUME</w:t>
      </w:r>
    </w:p>
    <w:p w:rsidR="00E64EAC" w:rsidRDefault="00E64EAC" w:rsidP="00E64EAC">
      <w:pPr>
        <w:spacing w:line="120" w:lineRule="auto"/>
        <w:jc w:val="both"/>
        <w:rPr>
          <w:rFonts w:asciiTheme="majorBidi" w:hAnsiTheme="majorBidi" w:cstheme="majorBidi"/>
          <w:sz w:val="24"/>
          <w:szCs w:val="24"/>
        </w:rPr>
      </w:pPr>
    </w:p>
    <w:p w:rsidR="00E64EAC" w:rsidRPr="00A012EB" w:rsidRDefault="00E64EAC" w:rsidP="00E64EA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E1CE0">
        <w:rPr>
          <w:rFonts w:asciiTheme="majorBidi" w:hAnsiTheme="majorBidi" w:cstheme="majorBidi"/>
          <w:sz w:val="24"/>
          <w:szCs w:val="24"/>
        </w:rPr>
        <w:t>L’objectif principal de cette étude est de valoriser un résidu agroalimentaire disponible localement, en contribuant à son application dans le domaine de traitement des eaux chargées en amines aromatiques</w:t>
      </w:r>
      <w:r>
        <w:rPr>
          <w:rFonts w:asciiTheme="majorBidi" w:hAnsiTheme="majorBidi" w:cstheme="majorBidi"/>
          <w:sz w:val="24"/>
          <w:szCs w:val="24"/>
        </w:rPr>
        <w:t xml:space="preserve"> (Aniline et ses dérivés)</w:t>
      </w:r>
      <w:r w:rsidRPr="00DE1CE0">
        <w:rPr>
          <w:rFonts w:asciiTheme="majorBidi" w:hAnsiTheme="majorBidi" w:cstheme="majorBidi"/>
          <w:sz w:val="24"/>
          <w:szCs w:val="24"/>
        </w:rPr>
        <w:t>. A cet effet nous avons élaboré des charbons actifs à base de noyaux d’abricot</w:t>
      </w:r>
      <w:r>
        <w:rPr>
          <w:rFonts w:asciiTheme="majorBidi" w:hAnsiTheme="majorBidi" w:cstheme="majorBidi"/>
          <w:sz w:val="24"/>
          <w:szCs w:val="24"/>
        </w:rPr>
        <w:t xml:space="preserve"> </w:t>
      </w:r>
      <w:r w:rsidRPr="00066636">
        <w:rPr>
          <w:rFonts w:asciiTheme="majorBidi" w:hAnsiTheme="majorBidi" w:cstheme="majorBidi"/>
          <w:sz w:val="24"/>
          <w:szCs w:val="24"/>
        </w:rPr>
        <w:t>dont l’activation chimique par trois acides minéraux (</w:t>
      </w:r>
      <w:proofErr w:type="spellStart"/>
      <w:r>
        <w:rPr>
          <w:rFonts w:asciiTheme="majorBidi" w:hAnsiTheme="majorBidi" w:cstheme="majorBidi"/>
          <w:sz w:val="24"/>
          <w:szCs w:val="24"/>
        </w:rPr>
        <w:t>ortho</w:t>
      </w:r>
      <w:r w:rsidRPr="00066636">
        <w:rPr>
          <w:rFonts w:asciiTheme="majorBidi" w:hAnsiTheme="majorBidi" w:cstheme="majorBidi"/>
          <w:sz w:val="24"/>
          <w:szCs w:val="24"/>
        </w:rPr>
        <w:t>phosphorique</w:t>
      </w:r>
      <w:proofErr w:type="spellEnd"/>
      <w:r w:rsidRPr="00066636">
        <w:rPr>
          <w:rFonts w:asciiTheme="majorBidi" w:hAnsiTheme="majorBidi" w:cstheme="majorBidi"/>
          <w:sz w:val="24"/>
          <w:szCs w:val="24"/>
        </w:rPr>
        <w:t>, chlorhydrique et sulfurique) et la carbonisation du précurseur traité ont été optimisées par les d</w:t>
      </w:r>
      <w:r w:rsidRPr="00066636">
        <w:rPr>
          <w:rStyle w:val="longtext"/>
          <w:rFonts w:asciiTheme="majorBidi" w:hAnsiTheme="majorBidi" w:cstheme="majorBidi"/>
          <w:color w:val="000000"/>
          <w:sz w:val="24"/>
          <w:szCs w:val="24"/>
        </w:rPr>
        <w:t xml:space="preserve">eux méthodes (classique et statistique). </w:t>
      </w:r>
      <w:r w:rsidRPr="00066636">
        <w:rPr>
          <w:rFonts w:asciiTheme="majorBidi" w:hAnsiTheme="majorBidi" w:cstheme="majorBidi"/>
          <w:sz w:val="24"/>
          <w:szCs w:val="24"/>
        </w:rPr>
        <w:t xml:space="preserve">En effet, l’optimisation par la méthode des plans d’expérience nous a permis d’identifier les facteurs influents et les interactions les plus significatives. </w:t>
      </w:r>
      <w:r w:rsidRPr="00066636">
        <w:rPr>
          <w:rStyle w:val="longtext"/>
          <w:rFonts w:asciiTheme="majorBidi" w:hAnsiTheme="majorBidi" w:cstheme="majorBidi"/>
          <w:color w:val="000000"/>
          <w:sz w:val="24"/>
          <w:szCs w:val="24"/>
        </w:rPr>
        <w:t>Ces</w:t>
      </w:r>
      <w:r w:rsidRPr="00066636">
        <w:rPr>
          <w:rFonts w:asciiTheme="majorBidi" w:hAnsiTheme="majorBidi" w:cstheme="majorBidi"/>
          <w:color w:val="000000"/>
          <w:sz w:val="24"/>
          <w:szCs w:val="24"/>
        </w:rPr>
        <w:t xml:space="preserve"> deux méthodes ont </w:t>
      </w:r>
      <w:r w:rsidRPr="00066636">
        <w:rPr>
          <w:rStyle w:val="longtext"/>
          <w:rFonts w:asciiTheme="majorBidi" w:hAnsiTheme="majorBidi" w:cstheme="majorBidi"/>
          <w:color w:val="000000"/>
          <w:sz w:val="24"/>
          <w:szCs w:val="24"/>
        </w:rPr>
        <w:t>montré que l</w:t>
      </w:r>
      <w:r w:rsidRPr="00066636">
        <w:rPr>
          <w:rStyle w:val="longtext"/>
          <w:rFonts w:asciiTheme="majorBidi" w:hAnsiTheme="majorBidi" w:cstheme="majorBidi"/>
          <w:color w:val="000000" w:themeColor="text1"/>
          <w:sz w:val="24"/>
          <w:szCs w:val="24"/>
        </w:rPr>
        <w:t>es c</w:t>
      </w:r>
      <w:r w:rsidRPr="00066636">
        <w:rPr>
          <w:rFonts w:asciiTheme="majorBidi" w:hAnsiTheme="majorBidi" w:cstheme="majorBidi"/>
          <w:sz w:val="24"/>
          <w:szCs w:val="24"/>
        </w:rPr>
        <w:t xml:space="preserve">onditions </w:t>
      </w:r>
      <w:r w:rsidRPr="00066636">
        <w:rPr>
          <w:rFonts w:asciiTheme="majorBidi" w:hAnsiTheme="majorBidi" w:cstheme="majorBidi"/>
          <w:color w:val="000000"/>
          <w:sz w:val="24"/>
          <w:szCs w:val="24"/>
        </w:rPr>
        <w:t>optimales d’activation et de carbonisation des trois traitements,</w:t>
      </w:r>
      <w:r w:rsidRPr="00066636">
        <w:rPr>
          <w:rStyle w:val="longtext"/>
          <w:rFonts w:asciiTheme="majorBidi" w:hAnsiTheme="majorBidi" w:cstheme="majorBidi"/>
          <w:color w:val="000000" w:themeColor="text1"/>
          <w:sz w:val="24"/>
          <w:szCs w:val="24"/>
        </w:rPr>
        <w:t xml:space="preserve"> obtenues par la méthode statistique sont en bon accord avec les résultats déterminés par </w:t>
      </w:r>
      <w:r w:rsidRPr="00066636">
        <w:rPr>
          <w:rFonts w:asciiTheme="majorBidi" w:hAnsiTheme="majorBidi" w:cstheme="majorBidi"/>
          <w:color w:val="000000" w:themeColor="text1"/>
          <w:sz w:val="24"/>
          <w:szCs w:val="24"/>
        </w:rPr>
        <w:t xml:space="preserve">la </w:t>
      </w:r>
      <w:r>
        <w:rPr>
          <w:rFonts w:asciiTheme="majorBidi" w:hAnsiTheme="majorBidi" w:cstheme="majorBidi"/>
          <w:color w:val="000000" w:themeColor="text1"/>
          <w:sz w:val="24"/>
          <w:szCs w:val="24"/>
        </w:rPr>
        <w:t>méthode</w:t>
      </w:r>
      <w:r w:rsidRPr="00066636">
        <w:rPr>
          <w:rFonts w:asciiTheme="majorBidi" w:hAnsiTheme="majorBidi" w:cstheme="majorBidi"/>
          <w:color w:val="000000" w:themeColor="text1"/>
          <w:sz w:val="24"/>
          <w:szCs w:val="24"/>
        </w:rPr>
        <w:t xml:space="preserve"> classique.</w:t>
      </w:r>
      <w:r w:rsidRPr="00DE1CE0">
        <w:rPr>
          <w:rFonts w:asciiTheme="majorBidi" w:hAnsiTheme="majorBidi" w:cstheme="majorBidi"/>
          <w:sz w:val="24"/>
          <w:szCs w:val="24"/>
        </w:rPr>
        <w:t xml:space="preserve"> La caractérisation des charbons activés </w:t>
      </w:r>
      <w:proofErr w:type="spellStart"/>
      <w:r w:rsidRPr="00DE1CE0">
        <w:rPr>
          <w:rFonts w:asciiTheme="majorBidi" w:hAnsiTheme="majorBidi" w:cstheme="majorBidi"/>
          <w:sz w:val="24"/>
          <w:szCs w:val="24"/>
        </w:rPr>
        <w:t>optimale</w:t>
      </w:r>
      <w:r>
        <w:rPr>
          <w:rFonts w:asciiTheme="majorBidi" w:hAnsiTheme="majorBidi" w:cstheme="majorBidi"/>
          <w:sz w:val="24"/>
          <w:szCs w:val="24"/>
        </w:rPr>
        <w:t>ment</w:t>
      </w:r>
      <w:proofErr w:type="spellEnd"/>
      <w:r w:rsidRPr="00DE1CE0">
        <w:rPr>
          <w:rFonts w:asciiTheme="majorBidi" w:hAnsiTheme="majorBidi" w:cstheme="majorBidi"/>
          <w:sz w:val="24"/>
          <w:szCs w:val="24"/>
        </w:rPr>
        <w:t xml:space="preserve"> a été réalisée par diverses méthodes d’analyse (adsorption d’azote, DRX, MEB et IR).</w:t>
      </w:r>
      <w:r>
        <w:rPr>
          <w:rFonts w:asciiTheme="majorBidi" w:hAnsiTheme="majorBidi" w:cstheme="majorBidi"/>
          <w:sz w:val="24"/>
          <w:szCs w:val="24"/>
        </w:rPr>
        <w:t xml:space="preserve"> </w:t>
      </w:r>
      <w:r w:rsidRPr="00406D80">
        <w:rPr>
          <w:rFonts w:asciiTheme="majorBidi" w:hAnsiTheme="majorBidi" w:cstheme="majorBidi"/>
          <w:sz w:val="24"/>
          <w:szCs w:val="24"/>
        </w:rPr>
        <w:t>Dans ce contexte nous nous somme proposé d’examiner l</w:t>
      </w:r>
      <w:r>
        <w:rPr>
          <w:rFonts w:asciiTheme="majorBidi" w:hAnsiTheme="majorBidi" w:cstheme="majorBidi"/>
          <w:sz w:val="24"/>
          <w:szCs w:val="24"/>
        </w:rPr>
        <w:t>es</w:t>
      </w:r>
      <w:r w:rsidRPr="00406D80">
        <w:rPr>
          <w:rFonts w:asciiTheme="majorBidi" w:hAnsiTheme="majorBidi" w:cstheme="majorBidi"/>
          <w:sz w:val="24"/>
          <w:szCs w:val="24"/>
        </w:rPr>
        <w:t xml:space="preserve"> performance</w:t>
      </w:r>
      <w:r>
        <w:rPr>
          <w:rFonts w:asciiTheme="majorBidi" w:hAnsiTheme="majorBidi" w:cstheme="majorBidi"/>
          <w:sz w:val="24"/>
          <w:szCs w:val="24"/>
        </w:rPr>
        <w:t>s</w:t>
      </w:r>
      <w:r w:rsidRPr="00406D80">
        <w:rPr>
          <w:rFonts w:asciiTheme="majorBidi" w:hAnsiTheme="majorBidi" w:cstheme="majorBidi"/>
          <w:sz w:val="24"/>
          <w:szCs w:val="24"/>
        </w:rPr>
        <w:t xml:space="preserve"> </w:t>
      </w:r>
      <w:r w:rsidRPr="00DE1CE0">
        <w:rPr>
          <w:rFonts w:asciiTheme="majorBidi" w:hAnsiTheme="majorBidi" w:cstheme="majorBidi"/>
          <w:sz w:val="24"/>
          <w:szCs w:val="24"/>
        </w:rPr>
        <w:t>de</w:t>
      </w:r>
      <w:r>
        <w:rPr>
          <w:rFonts w:asciiTheme="majorBidi" w:hAnsiTheme="majorBidi" w:cstheme="majorBidi"/>
          <w:sz w:val="24"/>
          <w:szCs w:val="24"/>
        </w:rPr>
        <w:t xml:space="preserve"> ces trois</w:t>
      </w:r>
      <w:r w:rsidRPr="00DE1CE0">
        <w:rPr>
          <w:rFonts w:asciiTheme="majorBidi" w:hAnsiTheme="majorBidi" w:cstheme="majorBidi"/>
          <w:sz w:val="24"/>
          <w:szCs w:val="24"/>
        </w:rPr>
        <w:t xml:space="preserve"> charbons actifs </w:t>
      </w:r>
      <w:r>
        <w:rPr>
          <w:rFonts w:asciiTheme="majorBidi" w:hAnsiTheme="majorBidi" w:cstheme="majorBidi"/>
          <w:sz w:val="24"/>
          <w:szCs w:val="24"/>
        </w:rPr>
        <w:t xml:space="preserve">élaborés </w:t>
      </w:r>
      <w:r w:rsidRPr="00DE1CE0">
        <w:rPr>
          <w:rFonts w:asciiTheme="majorBidi" w:hAnsiTheme="majorBidi" w:cstheme="majorBidi"/>
          <w:sz w:val="24"/>
          <w:szCs w:val="24"/>
        </w:rPr>
        <w:t xml:space="preserve">de manière optimale </w:t>
      </w:r>
      <w:r>
        <w:rPr>
          <w:rFonts w:asciiTheme="majorBidi" w:hAnsiTheme="majorBidi" w:cstheme="majorBidi"/>
          <w:sz w:val="24"/>
          <w:szCs w:val="24"/>
        </w:rPr>
        <w:t>(</w:t>
      </w:r>
      <w:r w:rsidRPr="00E72985">
        <w:rPr>
          <w:rFonts w:asciiTheme="majorBidi" w:hAnsiTheme="majorBidi" w:cstheme="majorBidi"/>
          <w:sz w:val="24"/>
          <w:szCs w:val="24"/>
        </w:rPr>
        <w:t>CAH</w:t>
      </w:r>
      <w:r w:rsidRPr="00E72985">
        <w:rPr>
          <w:rFonts w:asciiTheme="majorBidi" w:hAnsiTheme="majorBidi" w:cstheme="majorBidi"/>
          <w:sz w:val="24"/>
          <w:szCs w:val="24"/>
          <w:vertAlign w:val="subscript"/>
        </w:rPr>
        <w:t>3</w:t>
      </w:r>
      <w:r w:rsidRPr="00E72985">
        <w:rPr>
          <w:rFonts w:asciiTheme="majorBidi" w:hAnsiTheme="majorBidi" w:cstheme="majorBidi"/>
          <w:sz w:val="24"/>
          <w:szCs w:val="24"/>
        </w:rPr>
        <w:t>PO</w:t>
      </w:r>
      <w:r w:rsidRPr="00E72985">
        <w:rPr>
          <w:rFonts w:asciiTheme="majorBidi" w:hAnsiTheme="majorBidi" w:cstheme="majorBidi"/>
          <w:sz w:val="24"/>
          <w:szCs w:val="24"/>
          <w:vertAlign w:val="subscript"/>
        </w:rPr>
        <w:t>4</w:t>
      </w:r>
      <w:r>
        <w:rPr>
          <w:rFonts w:asciiTheme="majorBidi" w:hAnsiTheme="majorBidi" w:cstheme="majorBidi"/>
          <w:sz w:val="24"/>
          <w:szCs w:val="24"/>
        </w:rPr>
        <w:t>,</w:t>
      </w:r>
      <w:r w:rsidRPr="00E72985">
        <w:rPr>
          <w:rFonts w:asciiTheme="majorBidi" w:hAnsiTheme="majorBidi" w:cstheme="majorBidi"/>
          <w:sz w:val="24"/>
          <w:szCs w:val="24"/>
        </w:rPr>
        <w:t xml:space="preserve"> </w:t>
      </w:r>
      <w:proofErr w:type="spellStart"/>
      <w:r w:rsidRPr="00E72985">
        <w:rPr>
          <w:rFonts w:asciiTheme="majorBidi" w:hAnsiTheme="majorBidi" w:cstheme="majorBidi"/>
          <w:sz w:val="24"/>
          <w:szCs w:val="24"/>
        </w:rPr>
        <w:t>CAHCl</w:t>
      </w:r>
      <w:proofErr w:type="spellEnd"/>
      <w:r w:rsidRPr="00E72985">
        <w:rPr>
          <w:rFonts w:asciiTheme="majorBidi" w:hAnsiTheme="majorBidi" w:cstheme="majorBidi"/>
          <w:sz w:val="24"/>
          <w:szCs w:val="24"/>
        </w:rPr>
        <w:t xml:space="preserve"> </w:t>
      </w:r>
      <w:r>
        <w:rPr>
          <w:rFonts w:asciiTheme="majorBidi" w:hAnsiTheme="majorBidi" w:cstheme="majorBidi"/>
          <w:sz w:val="24"/>
          <w:szCs w:val="24"/>
        </w:rPr>
        <w:t>et CAH</w:t>
      </w:r>
      <w:r w:rsidRPr="00E72985">
        <w:rPr>
          <w:rFonts w:asciiTheme="majorBidi" w:hAnsiTheme="majorBidi" w:cstheme="majorBidi"/>
          <w:sz w:val="24"/>
          <w:szCs w:val="24"/>
          <w:vertAlign w:val="subscript"/>
        </w:rPr>
        <w:t>2</w:t>
      </w:r>
      <w:r>
        <w:rPr>
          <w:rFonts w:asciiTheme="majorBidi" w:hAnsiTheme="majorBidi" w:cstheme="majorBidi"/>
          <w:sz w:val="24"/>
          <w:szCs w:val="24"/>
        </w:rPr>
        <w:t>SO</w:t>
      </w:r>
      <w:r w:rsidRPr="00E72985">
        <w:rPr>
          <w:rFonts w:asciiTheme="majorBidi" w:hAnsiTheme="majorBidi" w:cstheme="majorBidi"/>
          <w:sz w:val="24"/>
          <w:szCs w:val="24"/>
          <w:vertAlign w:val="subscript"/>
        </w:rPr>
        <w:t>4</w:t>
      </w:r>
      <w:r>
        <w:rPr>
          <w:rFonts w:asciiTheme="majorBidi" w:hAnsiTheme="majorBidi" w:cstheme="majorBidi"/>
          <w:sz w:val="24"/>
          <w:szCs w:val="24"/>
        </w:rPr>
        <w:t xml:space="preserve">) </w:t>
      </w:r>
      <w:r w:rsidRPr="00406D80">
        <w:rPr>
          <w:rFonts w:asciiTheme="majorBidi" w:hAnsiTheme="majorBidi" w:cstheme="majorBidi"/>
          <w:sz w:val="24"/>
          <w:szCs w:val="24"/>
        </w:rPr>
        <w:t xml:space="preserve">dans le traitement des eaux </w:t>
      </w:r>
      <w:r>
        <w:rPr>
          <w:rFonts w:asciiTheme="majorBidi" w:hAnsiTheme="majorBidi" w:cstheme="majorBidi"/>
          <w:sz w:val="24"/>
          <w:szCs w:val="24"/>
        </w:rPr>
        <w:t>charg</w:t>
      </w:r>
      <w:r w:rsidRPr="00406D80">
        <w:rPr>
          <w:rFonts w:asciiTheme="majorBidi" w:hAnsiTheme="majorBidi" w:cstheme="majorBidi"/>
          <w:sz w:val="24"/>
          <w:szCs w:val="24"/>
        </w:rPr>
        <w:t xml:space="preserve">ées </w:t>
      </w:r>
      <w:r>
        <w:rPr>
          <w:rFonts w:asciiTheme="majorBidi" w:hAnsiTheme="majorBidi" w:cstheme="majorBidi"/>
          <w:sz w:val="24"/>
          <w:szCs w:val="24"/>
        </w:rPr>
        <w:t>en</w:t>
      </w:r>
      <w:r w:rsidRPr="00406D80">
        <w:rPr>
          <w:rFonts w:asciiTheme="majorBidi" w:hAnsiTheme="majorBidi" w:cstheme="majorBidi"/>
          <w:sz w:val="24"/>
          <w:szCs w:val="24"/>
        </w:rPr>
        <w:t xml:space="preserve"> amines aromatiques </w:t>
      </w:r>
      <w:r w:rsidRPr="00406D80">
        <w:rPr>
          <w:rStyle w:val="hps"/>
          <w:rFonts w:asciiTheme="majorBidi" w:hAnsiTheme="majorBidi" w:cstheme="majorBidi"/>
          <w:sz w:val="24"/>
          <w:szCs w:val="24"/>
        </w:rPr>
        <w:t>(AA)</w:t>
      </w:r>
      <w:r w:rsidRPr="00406D80">
        <w:rPr>
          <w:rStyle w:val="hps"/>
          <w:rFonts w:ascii="Times New Roman" w:hAnsi="Times New Roman" w:cs="Times New Roman"/>
          <w:sz w:val="24"/>
          <w:szCs w:val="24"/>
        </w:rPr>
        <w:t xml:space="preserve"> telles que</w:t>
      </w:r>
      <w:r w:rsidRPr="00406D80">
        <w:rPr>
          <w:rStyle w:val="hps"/>
          <w:rFonts w:asciiTheme="majorBidi" w:hAnsiTheme="majorBidi" w:cstheme="majorBidi"/>
          <w:sz w:val="24"/>
          <w:szCs w:val="24"/>
        </w:rPr>
        <w:t xml:space="preserve"> </w:t>
      </w:r>
      <w:r>
        <w:rPr>
          <w:rStyle w:val="hps"/>
          <w:rFonts w:asciiTheme="majorBidi" w:hAnsiTheme="majorBidi" w:cstheme="majorBidi"/>
          <w:sz w:val="24"/>
          <w:szCs w:val="24"/>
        </w:rPr>
        <w:t>l’</w:t>
      </w:r>
      <w:r w:rsidRPr="00406D80">
        <w:rPr>
          <w:rStyle w:val="hps"/>
          <w:rFonts w:asciiTheme="majorBidi" w:hAnsiTheme="majorBidi" w:cstheme="majorBidi"/>
          <w:sz w:val="24"/>
          <w:szCs w:val="24"/>
        </w:rPr>
        <w:t xml:space="preserve">aniline (AN), </w:t>
      </w:r>
      <w:r>
        <w:rPr>
          <w:rStyle w:val="hps"/>
          <w:rFonts w:asciiTheme="majorBidi" w:hAnsiTheme="majorBidi" w:cstheme="majorBidi"/>
          <w:sz w:val="24"/>
          <w:szCs w:val="24"/>
        </w:rPr>
        <w:t xml:space="preserve">la </w:t>
      </w:r>
      <w:r w:rsidRPr="00406D80">
        <w:rPr>
          <w:rStyle w:val="hps"/>
          <w:rFonts w:asciiTheme="majorBidi" w:hAnsiTheme="majorBidi" w:cstheme="majorBidi"/>
          <w:sz w:val="24"/>
          <w:szCs w:val="24"/>
        </w:rPr>
        <w:t>4-</w:t>
      </w:r>
      <w:proofErr w:type="spellStart"/>
      <w:r w:rsidRPr="00406D80">
        <w:rPr>
          <w:rStyle w:val="hps"/>
          <w:rFonts w:asciiTheme="majorBidi" w:hAnsiTheme="majorBidi" w:cstheme="majorBidi"/>
          <w:sz w:val="24"/>
          <w:szCs w:val="24"/>
        </w:rPr>
        <w:t>bromoaniline</w:t>
      </w:r>
      <w:proofErr w:type="spellEnd"/>
      <w:r w:rsidRPr="00406D80">
        <w:rPr>
          <w:rStyle w:val="hps"/>
          <w:rFonts w:asciiTheme="majorBidi" w:hAnsiTheme="majorBidi" w:cstheme="majorBidi"/>
          <w:sz w:val="24"/>
          <w:szCs w:val="24"/>
        </w:rPr>
        <w:t xml:space="preserve"> (4BA), </w:t>
      </w:r>
      <w:r>
        <w:rPr>
          <w:rStyle w:val="hps"/>
          <w:rFonts w:asciiTheme="majorBidi" w:hAnsiTheme="majorBidi" w:cstheme="majorBidi"/>
          <w:sz w:val="24"/>
          <w:szCs w:val="24"/>
        </w:rPr>
        <w:t xml:space="preserve">la </w:t>
      </w:r>
      <w:r w:rsidRPr="00406D80">
        <w:rPr>
          <w:rStyle w:val="hps"/>
          <w:rFonts w:asciiTheme="majorBidi" w:hAnsiTheme="majorBidi" w:cstheme="majorBidi"/>
          <w:sz w:val="24"/>
          <w:szCs w:val="24"/>
        </w:rPr>
        <w:t>4-</w:t>
      </w:r>
      <w:proofErr w:type="spellStart"/>
      <w:r w:rsidRPr="00406D80">
        <w:rPr>
          <w:rStyle w:val="hps"/>
          <w:rFonts w:asciiTheme="majorBidi" w:hAnsiTheme="majorBidi" w:cstheme="majorBidi"/>
          <w:sz w:val="24"/>
          <w:szCs w:val="24"/>
        </w:rPr>
        <w:t>m</w:t>
      </w:r>
      <w:r w:rsidRPr="00406D80">
        <w:rPr>
          <w:rFonts w:asciiTheme="majorBidi" w:hAnsiTheme="majorBidi" w:cstheme="majorBidi"/>
          <w:sz w:val="24"/>
          <w:szCs w:val="24"/>
        </w:rPr>
        <w:t>é</w:t>
      </w:r>
      <w:r w:rsidRPr="00406D80">
        <w:rPr>
          <w:rStyle w:val="hps"/>
          <w:rFonts w:asciiTheme="majorBidi" w:hAnsiTheme="majorBidi" w:cstheme="majorBidi"/>
          <w:sz w:val="24"/>
          <w:szCs w:val="24"/>
        </w:rPr>
        <w:t>thylaniline</w:t>
      </w:r>
      <w:proofErr w:type="spellEnd"/>
      <w:r w:rsidRPr="00406D80">
        <w:rPr>
          <w:rStyle w:val="hps"/>
          <w:rFonts w:asciiTheme="majorBidi" w:hAnsiTheme="majorBidi" w:cstheme="majorBidi"/>
          <w:sz w:val="24"/>
          <w:szCs w:val="24"/>
        </w:rPr>
        <w:t xml:space="preserve"> (4MA) et </w:t>
      </w:r>
      <w:r>
        <w:rPr>
          <w:rStyle w:val="hps"/>
          <w:rFonts w:asciiTheme="majorBidi" w:hAnsiTheme="majorBidi" w:cstheme="majorBidi"/>
          <w:sz w:val="24"/>
          <w:szCs w:val="24"/>
        </w:rPr>
        <w:t xml:space="preserve">la </w:t>
      </w:r>
      <w:r w:rsidRPr="00406D80">
        <w:rPr>
          <w:rStyle w:val="hps"/>
          <w:rFonts w:asciiTheme="majorBidi" w:hAnsiTheme="majorBidi" w:cstheme="majorBidi"/>
          <w:sz w:val="24"/>
          <w:szCs w:val="24"/>
        </w:rPr>
        <w:t>4-</w:t>
      </w:r>
      <w:proofErr w:type="spellStart"/>
      <w:r w:rsidRPr="00406D80">
        <w:rPr>
          <w:rStyle w:val="hps"/>
          <w:rFonts w:asciiTheme="majorBidi" w:hAnsiTheme="majorBidi" w:cstheme="majorBidi"/>
          <w:sz w:val="24"/>
          <w:szCs w:val="24"/>
        </w:rPr>
        <w:t>nitroaniline</w:t>
      </w:r>
      <w:proofErr w:type="spellEnd"/>
      <w:r w:rsidRPr="00406D80">
        <w:rPr>
          <w:rStyle w:val="hps"/>
          <w:rFonts w:asciiTheme="majorBidi" w:hAnsiTheme="majorBidi" w:cstheme="majorBidi"/>
          <w:sz w:val="24"/>
          <w:szCs w:val="24"/>
        </w:rPr>
        <w:t xml:space="preserve"> (4NA)</w:t>
      </w:r>
      <w:r w:rsidRPr="00406D80">
        <w:rPr>
          <w:rFonts w:asciiTheme="majorBidi" w:hAnsiTheme="majorBidi" w:cstheme="majorBidi"/>
          <w:sz w:val="24"/>
          <w:szCs w:val="24"/>
        </w:rPr>
        <w:t xml:space="preserve">. </w:t>
      </w:r>
      <w:r w:rsidRPr="00DE1CE0">
        <w:rPr>
          <w:rFonts w:asciiTheme="majorBidi" w:hAnsiTheme="majorBidi" w:cstheme="majorBidi"/>
          <w:sz w:val="24"/>
          <w:szCs w:val="24"/>
        </w:rPr>
        <w:t>Des essais d’adsorption ont été menés en batch dans un réacteur agité.</w:t>
      </w:r>
      <w:r w:rsidRPr="00066636">
        <w:rPr>
          <w:rFonts w:asciiTheme="majorBidi" w:hAnsiTheme="majorBidi" w:cstheme="majorBidi"/>
          <w:color w:val="000000"/>
          <w:sz w:val="24"/>
          <w:szCs w:val="24"/>
        </w:rPr>
        <w:t xml:space="preserve"> L’étude de l’adsorption des </w:t>
      </w:r>
      <w:r w:rsidRPr="00066636">
        <w:rPr>
          <w:rFonts w:asciiTheme="majorBidi" w:hAnsiTheme="majorBidi" w:cstheme="majorBidi"/>
          <w:sz w:val="24"/>
          <w:szCs w:val="24"/>
        </w:rPr>
        <w:t>quatre amines aromatiques sur les trois charbons actifs choisis, montre que le taux d’élimination dépend des paramètres liés au milieu et de la nature du substituant présent sur le cycle aromatique.</w:t>
      </w:r>
      <w:r>
        <w:rPr>
          <w:rFonts w:asciiTheme="majorBidi" w:hAnsiTheme="majorBidi" w:cstheme="majorBidi"/>
          <w:sz w:val="24"/>
          <w:szCs w:val="24"/>
        </w:rPr>
        <w:t xml:space="preserve"> </w:t>
      </w:r>
      <w:r w:rsidRPr="00066636">
        <w:rPr>
          <w:rFonts w:asciiTheme="majorBidi" w:hAnsiTheme="majorBidi" w:cstheme="majorBidi"/>
          <w:sz w:val="24"/>
          <w:szCs w:val="24"/>
        </w:rPr>
        <w:t>L’isotherme d’adsorption de Langmuir est favorable pour tous les systèmes étudiés avec des coefficients de corrélation dépassant 98℅. L’application du charbon le plus performant (CAH</w:t>
      </w:r>
      <w:r w:rsidRPr="00066636">
        <w:rPr>
          <w:rFonts w:asciiTheme="majorBidi" w:hAnsiTheme="majorBidi" w:cstheme="majorBidi"/>
          <w:sz w:val="24"/>
          <w:szCs w:val="24"/>
          <w:vertAlign w:val="subscript"/>
        </w:rPr>
        <w:t>3</w:t>
      </w:r>
      <w:r w:rsidRPr="00066636">
        <w:rPr>
          <w:rFonts w:asciiTheme="majorBidi" w:hAnsiTheme="majorBidi" w:cstheme="majorBidi"/>
          <w:sz w:val="24"/>
          <w:szCs w:val="24"/>
        </w:rPr>
        <w:t>PO</w:t>
      </w:r>
      <w:r w:rsidRPr="00066636">
        <w:rPr>
          <w:rFonts w:asciiTheme="majorBidi" w:hAnsiTheme="majorBidi" w:cstheme="majorBidi"/>
          <w:sz w:val="24"/>
          <w:szCs w:val="24"/>
          <w:vertAlign w:val="subscript"/>
        </w:rPr>
        <w:t>4</w:t>
      </w:r>
      <w:r w:rsidRPr="00066636">
        <w:rPr>
          <w:rFonts w:asciiTheme="majorBidi" w:hAnsiTheme="majorBidi" w:cstheme="majorBidi"/>
          <w:sz w:val="24"/>
          <w:szCs w:val="24"/>
        </w:rPr>
        <w:t>) à l’étude cinétique montre que la réaction d’adsorption est du pseudo-second ordre et que la diffusion intra-particulaire n’est pas le seul mécanisme limitant la cinétique d’adsorption et que d’autres mécanismes sont impliqués</w:t>
      </w:r>
      <w:r w:rsidRPr="00066636">
        <w:rPr>
          <w:rFonts w:asciiTheme="majorBidi" w:eastAsia="Calibri" w:hAnsiTheme="majorBidi" w:cstheme="majorBidi"/>
          <w:sz w:val="24"/>
          <w:szCs w:val="24"/>
        </w:rPr>
        <w:t>.</w:t>
      </w:r>
      <w:r>
        <w:rPr>
          <w:rFonts w:asciiTheme="majorBidi" w:eastAsia="Calibri" w:hAnsiTheme="majorBidi" w:cstheme="majorBidi"/>
          <w:sz w:val="24"/>
          <w:szCs w:val="24"/>
        </w:rPr>
        <w:t xml:space="preserve"> </w:t>
      </w:r>
      <w:r w:rsidRPr="00A012EB">
        <w:rPr>
          <w:rFonts w:asciiTheme="majorBidi" w:hAnsiTheme="majorBidi" w:cstheme="majorBidi"/>
          <w:sz w:val="24"/>
          <w:szCs w:val="24"/>
        </w:rPr>
        <w:t>L’analyse des grandeurs thermodynamique, révèle que la réaction d’adsorption est spontanée, endothermique pour 4BA et 4MA</w:t>
      </w:r>
      <w:r>
        <w:rPr>
          <w:rFonts w:asciiTheme="majorBidi" w:hAnsiTheme="majorBidi" w:cstheme="majorBidi"/>
          <w:sz w:val="24"/>
          <w:szCs w:val="24"/>
        </w:rPr>
        <w:t xml:space="preserve"> et</w:t>
      </w:r>
      <w:r w:rsidRPr="00A012EB">
        <w:rPr>
          <w:rFonts w:asciiTheme="majorBidi" w:hAnsiTheme="majorBidi" w:cstheme="majorBidi"/>
          <w:sz w:val="24"/>
          <w:szCs w:val="24"/>
        </w:rPr>
        <w:t xml:space="preserve"> exothermique </w:t>
      </w:r>
      <w:r>
        <w:rPr>
          <w:rFonts w:asciiTheme="majorBidi" w:hAnsiTheme="majorBidi" w:cstheme="majorBidi"/>
          <w:sz w:val="24"/>
          <w:szCs w:val="24"/>
        </w:rPr>
        <w:t>pour</w:t>
      </w:r>
      <w:r w:rsidRPr="00A012EB">
        <w:rPr>
          <w:rFonts w:asciiTheme="majorBidi" w:hAnsiTheme="majorBidi" w:cstheme="majorBidi"/>
          <w:sz w:val="24"/>
          <w:szCs w:val="24"/>
        </w:rPr>
        <w:t xml:space="preserve"> 4NA et AN.</w:t>
      </w:r>
      <w:r>
        <w:rPr>
          <w:rFonts w:asciiTheme="majorBidi" w:hAnsiTheme="majorBidi" w:cstheme="majorBidi"/>
          <w:sz w:val="24"/>
          <w:szCs w:val="24"/>
        </w:rPr>
        <w:t xml:space="preserve"> </w:t>
      </w:r>
      <w:r w:rsidRPr="00A012EB">
        <w:rPr>
          <w:rFonts w:asciiTheme="majorBidi" w:hAnsiTheme="majorBidi" w:cstheme="majorBidi"/>
          <w:sz w:val="24"/>
          <w:szCs w:val="24"/>
        </w:rPr>
        <w:t xml:space="preserve">La chaleur </w:t>
      </w:r>
      <w:proofErr w:type="spellStart"/>
      <w:r w:rsidRPr="00A012EB">
        <w:rPr>
          <w:rFonts w:asciiTheme="majorBidi" w:hAnsiTheme="majorBidi" w:cstheme="majorBidi"/>
          <w:sz w:val="24"/>
          <w:szCs w:val="24"/>
        </w:rPr>
        <w:t>isostérique</w:t>
      </w:r>
      <w:proofErr w:type="spellEnd"/>
      <w:r w:rsidRPr="00A012EB">
        <w:rPr>
          <w:rFonts w:asciiTheme="majorBidi" w:hAnsiTheme="majorBidi" w:cstheme="majorBidi"/>
          <w:sz w:val="24"/>
          <w:szCs w:val="24"/>
        </w:rPr>
        <w:t xml:space="preserve"> d’adsorption (ΔH°) indique que le processus d’adsorption sur </w:t>
      </w:r>
      <w:r>
        <w:rPr>
          <w:rFonts w:asciiTheme="majorBidi" w:hAnsiTheme="majorBidi" w:cstheme="majorBidi"/>
          <w:sz w:val="24"/>
          <w:szCs w:val="24"/>
        </w:rPr>
        <w:t xml:space="preserve">le charbon </w:t>
      </w:r>
      <w:r w:rsidRPr="00A012EB">
        <w:rPr>
          <w:rFonts w:asciiTheme="majorBidi" w:hAnsiTheme="majorBidi" w:cstheme="majorBidi"/>
          <w:sz w:val="24"/>
          <w:szCs w:val="24"/>
        </w:rPr>
        <w:t>CAH</w:t>
      </w:r>
      <w:r w:rsidRPr="00A012EB">
        <w:rPr>
          <w:rFonts w:asciiTheme="majorBidi" w:hAnsiTheme="majorBidi" w:cstheme="majorBidi"/>
          <w:sz w:val="24"/>
          <w:szCs w:val="24"/>
          <w:vertAlign w:val="subscript"/>
        </w:rPr>
        <w:t>3</w:t>
      </w:r>
      <w:r w:rsidRPr="00A012EB">
        <w:rPr>
          <w:rFonts w:asciiTheme="majorBidi" w:hAnsiTheme="majorBidi" w:cstheme="majorBidi"/>
          <w:sz w:val="24"/>
          <w:szCs w:val="24"/>
        </w:rPr>
        <w:t>PO</w:t>
      </w:r>
      <w:r w:rsidRPr="00A012EB">
        <w:rPr>
          <w:rFonts w:asciiTheme="majorBidi" w:hAnsiTheme="majorBidi" w:cstheme="majorBidi"/>
          <w:sz w:val="24"/>
          <w:szCs w:val="24"/>
          <w:vertAlign w:val="subscript"/>
        </w:rPr>
        <w:t xml:space="preserve">4 </w:t>
      </w:r>
      <w:r w:rsidRPr="00A012EB">
        <w:rPr>
          <w:rFonts w:asciiTheme="majorBidi" w:hAnsiTheme="majorBidi" w:cstheme="majorBidi"/>
          <w:sz w:val="24"/>
          <w:szCs w:val="24"/>
        </w:rPr>
        <w:t xml:space="preserve">est de type physique pour (4BA, 4NA et AN) et chimique pour 4MA. </w:t>
      </w:r>
    </w:p>
    <w:p w:rsidR="00B71FB0" w:rsidRDefault="00B71FB0" w:rsidP="00B71FB0">
      <w:pPr>
        <w:spacing w:after="0" w:line="360" w:lineRule="auto"/>
        <w:rPr>
          <w:rFonts w:asciiTheme="majorBidi" w:hAnsiTheme="majorBidi" w:cstheme="majorBidi"/>
          <w:b/>
          <w:bCs/>
          <w:i/>
          <w:iCs/>
          <w:sz w:val="24"/>
          <w:szCs w:val="24"/>
        </w:rPr>
      </w:pPr>
    </w:p>
    <w:p w:rsidR="00B71FB0" w:rsidRDefault="00E64EAC" w:rsidP="00B71FB0">
      <w:pPr>
        <w:spacing w:after="0" w:line="360" w:lineRule="auto"/>
        <w:rPr>
          <w:rFonts w:asciiTheme="majorBidi" w:hAnsiTheme="majorBidi" w:cstheme="majorBidi"/>
          <w:i/>
          <w:iCs/>
          <w:sz w:val="24"/>
          <w:szCs w:val="24"/>
        </w:rPr>
      </w:pPr>
      <w:r w:rsidRPr="00AB6DB7">
        <w:rPr>
          <w:rFonts w:asciiTheme="majorBidi" w:hAnsiTheme="majorBidi" w:cstheme="majorBidi"/>
          <w:b/>
          <w:bCs/>
          <w:i/>
          <w:iCs/>
          <w:sz w:val="24"/>
          <w:szCs w:val="24"/>
        </w:rPr>
        <w:t>Mots clés</w:t>
      </w:r>
      <w:r w:rsidRPr="00AB6DB7">
        <w:rPr>
          <w:rFonts w:asciiTheme="majorBidi" w:hAnsiTheme="majorBidi" w:cstheme="majorBidi"/>
          <w:i/>
          <w:iCs/>
          <w:sz w:val="24"/>
          <w:szCs w:val="24"/>
        </w:rPr>
        <w:t xml:space="preserve">: adsorption; </w:t>
      </w:r>
      <w:proofErr w:type="gramStart"/>
      <w:r w:rsidRPr="00AB6DB7">
        <w:rPr>
          <w:rFonts w:asciiTheme="majorBidi" w:hAnsiTheme="majorBidi" w:cstheme="majorBidi"/>
          <w:i/>
          <w:iCs/>
          <w:sz w:val="24"/>
          <w:szCs w:val="24"/>
        </w:rPr>
        <w:t>charbon</w:t>
      </w:r>
      <w:proofErr w:type="gramEnd"/>
      <w:r w:rsidRPr="00AB6DB7">
        <w:rPr>
          <w:rFonts w:asciiTheme="majorBidi" w:hAnsiTheme="majorBidi" w:cstheme="majorBidi"/>
          <w:i/>
          <w:iCs/>
          <w:sz w:val="24"/>
          <w:szCs w:val="24"/>
        </w:rPr>
        <w:t xml:space="preserve"> à base de noyaux d’abricot; </w:t>
      </w:r>
      <w:proofErr w:type="gramStart"/>
      <w:r w:rsidRPr="00AB6DB7">
        <w:rPr>
          <w:rFonts w:asciiTheme="majorBidi" w:hAnsiTheme="majorBidi" w:cstheme="majorBidi"/>
          <w:i/>
          <w:iCs/>
          <w:sz w:val="24"/>
          <w:szCs w:val="24"/>
        </w:rPr>
        <w:t>aniline</w:t>
      </w:r>
      <w:proofErr w:type="gramEnd"/>
      <w:r w:rsidRPr="00AB6DB7">
        <w:rPr>
          <w:rFonts w:asciiTheme="majorBidi" w:hAnsiTheme="majorBidi" w:cstheme="majorBidi"/>
          <w:i/>
          <w:iCs/>
          <w:sz w:val="24"/>
          <w:szCs w:val="24"/>
        </w:rPr>
        <w:t xml:space="preserve"> et ses dérivés; </w:t>
      </w:r>
      <w:proofErr w:type="gramStart"/>
      <w:r w:rsidRPr="00AB6DB7">
        <w:rPr>
          <w:rFonts w:asciiTheme="majorBidi" w:hAnsiTheme="majorBidi" w:cstheme="majorBidi"/>
          <w:i/>
          <w:iCs/>
          <w:sz w:val="24"/>
          <w:szCs w:val="24"/>
        </w:rPr>
        <w:t>plan</w:t>
      </w:r>
      <w:proofErr w:type="gramEnd"/>
      <w:r w:rsidRPr="00AB6DB7">
        <w:rPr>
          <w:rFonts w:asciiTheme="majorBidi" w:hAnsiTheme="majorBidi" w:cstheme="majorBidi"/>
          <w:i/>
          <w:iCs/>
          <w:sz w:val="24"/>
          <w:szCs w:val="24"/>
        </w:rPr>
        <w:t xml:space="preserve"> </w:t>
      </w:r>
      <w:r>
        <w:rPr>
          <w:rFonts w:asciiTheme="majorBidi" w:hAnsiTheme="majorBidi" w:cstheme="majorBidi"/>
          <w:i/>
          <w:iCs/>
          <w:sz w:val="24"/>
          <w:szCs w:val="24"/>
        </w:rPr>
        <w:t xml:space="preserve"> </w:t>
      </w:r>
      <w:r w:rsidR="00B71FB0">
        <w:rPr>
          <w:rFonts w:asciiTheme="majorBidi" w:hAnsiTheme="majorBidi" w:cstheme="majorBidi"/>
          <w:i/>
          <w:iCs/>
          <w:sz w:val="24"/>
          <w:szCs w:val="24"/>
        </w:rPr>
        <w:t xml:space="preserve">      </w:t>
      </w:r>
    </w:p>
    <w:p w:rsidR="00600569" w:rsidRDefault="00B71FB0" w:rsidP="00B71FB0">
      <w:pPr>
        <w:spacing w:after="0" w:line="360" w:lineRule="auto"/>
      </w:pPr>
      <w:r>
        <w:rPr>
          <w:rFonts w:asciiTheme="majorBidi" w:hAnsiTheme="majorBidi" w:cstheme="majorBidi"/>
          <w:i/>
          <w:iCs/>
          <w:sz w:val="24"/>
          <w:szCs w:val="24"/>
        </w:rPr>
        <w:t xml:space="preserve">                 </w:t>
      </w:r>
      <w:proofErr w:type="gramStart"/>
      <w:r>
        <w:rPr>
          <w:rFonts w:asciiTheme="majorBidi" w:hAnsiTheme="majorBidi" w:cstheme="majorBidi"/>
          <w:i/>
          <w:iCs/>
          <w:sz w:val="24"/>
          <w:szCs w:val="24"/>
        </w:rPr>
        <w:t>factoriel</w:t>
      </w:r>
      <w:proofErr w:type="gramEnd"/>
      <w:r w:rsidR="00E64EAC" w:rsidRPr="00AB6DB7">
        <w:rPr>
          <w:rFonts w:asciiTheme="majorBidi" w:hAnsiTheme="majorBidi" w:cstheme="majorBidi"/>
          <w:i/>
          <w:iCs/>
          <w:sz w:val="24"/>
          <w:szCs w:val="24"/>
        </w:rPr>
        <w:t>;</w:t>
      </w:r>
      <w:r>
        <w:rPr>
          <w:rFonts w:asciiTheme="majorBidi" w:hAnsiTheme="majorBidi" w:cstheme="majorBidi"/>
          <w:i/>
          <w:iCs/>
          <w:sz w:val="24"/>
          <w:szCs w:val="24"/>
        </w:rPr>
        <w:t xml:space="preserve"> </w:t>
      </w:r>
      <w:proofErr w:type="gramStart"/>
      <w:r w:rsidR="00E64EAC" w:rsidRPr="00AB6DB7">
        <w:rPr>
          <w:rFonts w:asciiTheme="majorBidi" w:hAnsiTheme="majorBidi" w:cstheme="majorBidi"/>
          <w:i/>
          <w:iCs/>
          <w:sz w:val="24"/>
          <w:szCs w:val="24"/>
        </w:rPr>
        <w:t>isotherme</w:t>
      </w:r>
      <w:proofErr w:type="gramEnd"/>
      <w:r w:rsidR="00E64EAC" w:rsidRPr="00AB6DB7">
        <w:rPr>
          <w:rFonts w:asciiTheme="majorBidi" w:hAnsiTheme="majorBidi" w:cstheme="majorBidi"/>
          <w:i/>
          <w:iCs/>
          <w:sz w:val="24"/>
          <w:szCs w:val="24"/>
        </w:rPr>
        <w:t xml:space="preserve"> d’adsorption; </w:t>
      </w:r>
      <w:proofErr w:type="gramStart"/>
      <w:r w:rsidR="00E64EAC" w:rsidRPr="00AB6DB7">
        <w:rPr>
          <w:rFonts w:asciiTheme="majorBidi" w:hAnsiTheme="majorBidi" w:cstheme="majorBidi"/>
          <w:i/>
          <w:iCs/>
          <w:sz w:val="24"/>
          <w:szCs w:val="24"/>
        </w:rPr>
        <w:t>chaleur</w:t>
      </w:r>
      <w:proofErr w:type="gramEnd"/>
      <w:r w:rsidR="00E64EAC" w:rsidRPr="00AB6DB7">
        <w:rPr>
          <w:rFonts w:asciiTheme="majorBidi" w:hAnsiTheme="majorBidi" w:cstheme="majorBidi"/>
          <w:i/>
          <w:iCs/>
          <w:sz w:val="24"/>
          <w:szCs w:val="24"/>
        </w:rPr>
        <w:t xml:space="preserve"> </w:t>
      </w:r>
      <w:proofErr w:type="spellStart"/>
      <w:r w:rsidR="00E64EAC" w:rsidRPr="00AB6DB7">
        <w:rPr>
          <w:rFonts w:asciiTheme="majorBidi" w:hAnsiTheme="majorBidi" w:cstheme="majorBidi"/>
          <w:i/>
          <w:iCs/>
          <w:sz w:val="24"/>
          <w:szCs w:val="24"/>
        </w:rPr>
        <w:t>isostérique</w:t>
      </w:r>
      <w:proofErr w:type="spellEnd"/>
      <w:r w:rsidR="00E64EAC" w:rsidRPr="00AB6DB7">
        <w:rPr>
          <w:rFonts w:asciiTheme="majorBidi" w:hAnsiTheme="majorBidi" w:cstheme="majorBidi"/>
          <w:i/>
          <w:iCs/>
          <w:sz w:val="24"/>
          <w:szCs w:val="24"/>
        </w:rPr>
        <w:t xml:space="preserve">; </w:t>
      </w:r>
      <w:proofErr w:type="gramStart"/>
      <w:r w:rsidR="00E64EAC" w:rsidRPr="00AB6DB7">
        <w:rPr>
          <w:rFonts w:asciiTheme="majorBidi" w:hAnsiTheme="majorBidi" w:cstheme="majorBidi"/>
          <w:i/>
          <w:iCs/>
          <w:sz w:val="24"/>
          <w:szCs w:val="24"/>
        </w:rPr>
        <w:t>cinétique</w:t>
      </w:r>
      <w:proofErr w:type="gramEnd"/>
      <w:r w:rsidR="00E64EAC" w:rsidRPr="00AB6DB7">
        <w:rPr>
          <w:rFonts w:asciiTheme="majorBidi" w:hAnsiTheme="majorBidi" w:cstheme="majorBidi"/>
          <w:i/>
          <w:iCs/>
          <w:sz w:val="24"/>
          <w:szCs w:val="24"/>
        </w:rPr>
        <w:t xml:space="preserve"> d’adsorption.  </w:t>
      </w:r>
    </w:p>
    <w:sectPr w:rsidR="00600569" w:rsidSect="00B71FB0">
      <w:pgSz w:w="11906" w:h="16838"/>
      <w:pgMar w:top="1417" w:right="1274"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E64EAC"/>
    <w:rsid w:val="00275CA7"/>
    <w:rsid w:val="00600569"/>
    <w:rsid w:val="00B71FB0"/>
    <w:rsid w:val="00E64EAC"/>
    <w:rsid w:val="00EB5AA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4EA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E64EAC"/>
  </w:style>
  <w:style w:type="character" w:customStyle="1" w:styleId="hps">
    <w:name w:val="hps"/>
    <w:basedOn w:val="Policepardfaut"/>
    <w:rsid w:val="00E64EA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402</Words>
  <Characters>2214</Characters>
  <Application>Microsoft Office Word</Application>
  <DocSecurity>0</DocSecurity>
  <Lines>18</Lines>
  <Paragraphs>5</Paragraphs>
  <ScaleCrop>false</ScaleCrop>
  <Company/>
  <LinksUpToDate>false</LinksUpToDate>
  <CharactersWithSpaces>2611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2016-05-17T13:00:00Z</dcterms:created>
  <dcterms:modified xsi:type="dcterms:W3CDTF">2016-05-17T13:04:00Z</dcterms:modified>
</cp:coreProperties>
</file>