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1BA7" w:rsidRPr="00911BA7" w:rsidRDefault="00911BA7" w:rsidP="00911BA7">
      <w:pPr>
        <w:autoSpaceDE w:val="0"/>
        <w:autoSpaceDN w:val="0"/>
        <w:adjustRightInd w:val="0"/>
        <w:spacing w:line="360" w:lineRule="auto"/>
        <w:rPr>
          <w:b/>
          <w:sz w:val="28"/>
          <w:szCs w:val="28"/>
        </w:rPr>
      </w:pPr>
      <w:r w:rsidRPr="00911BA7">
        <w:rPr>
          <w:b/>
          <w:sz w:val="28"/>
          <w:szCs w:val="28"/>
        </w:rPr>
        <w:t>Résumé</w:t>
      </w:r>
      <w:r>
        <w:rPr>
          <w:b/>
          <w:sz w:val="28"/>
          <w:szCs w:val="28"/>
        </w:rPr>
        <w:t> :</w:t>
      </w:r>
    </w:p>
    <w:p w:rsidR="00911BA7" w:rsidRDefault="00911BA7" w:rsidP="00911BA7">
      <w:pPr>
        <w:autoSpaceDE w:val="0"/>
        <w:autoSpaceDN w:val="0"/>
        <w:adjustRightInd w:val="0"/>
        <w:spacing w:line="360" w:lineRule="auto"/>
        <w:rPr>
          <w:sz w:val="24"/>
          <w:szCs w:val="24"/>
        </w:rPr>
      </w:pPr>
    </w:p>
    <w:p w:rsidR="00911BA7" w:rsidRPr="00911BA7" w:rsidRDefault="00911BA7" w:rsidP="00911BA7">
      <w:pPr>
        <w:autoSpaceDE w:val="0"/>
        <w:autoSpaceDN w:val="0"/>
        <w:adjustRightInd w:val="0"/>
        <w:spacing w:line="360" w:lineRule="auto"/>
        <w:rPr>
          <w:rFonts w:eastAsiaTheme="minorHAnsi"/>
          <w:sz w:val="24"/>
          <w:szCs w:val="24"/>
          <w:lang w:eastAsia="en-US"/>
        </w:rPr>
      </w:pPr>
      <w:r>
        <w:rPr>
          <w:sz w:val="24"/>
          <w:szCs w:val="24"/>
        </w:rPr>
        <w:t>Les méthodes Monte Carlo par chaines de Markov  (</w:t>
      </w:r>
      <w:r>
        <w:rPr>
          <w:rFonts w:eastAsiaTheme="minorHAnsi"/>
          <w:sz w:val="24"/>
          <w:szCs w:val="24"/>
          <w:lang w:eastAsia="en-US"/>
        </w:rPr>
        <w:t>MCMC) en tant que puissantes mé</w:t>
      </w:r>
      <w:r w:rsidRPr="00911BA7">
        <w:rPr>
          <w:rFonts w:eastAsiaTheme="minorHAnsi"/>
          <w:sz w:val="24"/>
          <w:szCs w:val="24"/>
          <w:lang w:eastAsia="en-US"/>
        </w:rPr>
        <w:t>thodes de simulation sont</w:t>
      </w:r>
      <w:r>
        <w:rPr>
          <w:rFonts w:eastAsiaTheme="minorHAnsi"/>
          <w:sz w:val="24"/>
          <w:szCs w:val="24"/>
          <w:lang w:eastAsia="en-US"/>
        </w:rPr>
        <w:t xml:space="preserve"> utilisées dans de nombreux modè</w:t>
      </w:r>
      <w:r w:rsidRPr="00911BA7">
        <w:rPr>
          <w:rFonts w:eastAsiaTheme="minorHAnsi"/>
          <w:sz w:val="24"/>
          <w:szCs w:val="24"/>
          <w:lang w:eastAsia="en-US"/>
        </w:rPr>
        <w:t>les financiers et actuariels en particulier en</w:t>
      </w:r>
      <w:r>
        <w:rPr>
          <w:rFonts w:eastAsiaTheme="minorHAnsi"/>
          <w:sz w:val="24"/>
          <w:szCs w:val="24"/>
          <w:lang w:eastAsia="en-US"/>
        </w:rPr>
        <w:t xml:space="preserve"> liaison avec les mé</w:t>
      </w:r>
      <w:r w:rsidRPr="00911BA7">
        <w:rPr>
          <w:rFonts w:eastAsiaTheme="minorHAnsi"/>
          <w:sz w:val="24"/>
          <w:szCs w:val="24"/>
          <w:lang w:eastAsia="en-US"/>
        </w:rPr>
        <w:t>thodes d’</w:t>
      </w:r>
      <w:r>
        <w:rPr>
          <w:rFonts w:eastAsiaTheme="minorHAnsi"/>
          <w:sz w:val="24"/>
          <w:szCs w:val="24"/>
          <w:lang w:eastAsia="en-US"/>
        </w:rPr>
        <w:t xml:space="preserve">inférence statistique </w:t>
      </w:r>
      <w:proofErr w:type="spellStart"/>
      <w:r>
        <w:rPr>
          <w:rFonts w:eastAsiaTheme="minorHAnsi"/>
          <w:sz w:val="24"/>
          <w:szCs w:val="24"/>
          <w:lang w:eastAsia="en-US"/>
        </w:rPr>
        <w:t>bayé</w:t>
      </w:r>
      <w:r w:rsidRPr="00911BA7">
        <w:rPr>
          <w:rFonts w:eastAsiaTheme="minorHAnsi"/>
          <w:sz w:val="24"/>
          <w:szCs w:val="24"/>
          <w:lang w:eastAsia="en-US"/>
        </w:rPr>
        <w:t>sienne</w:t>
      </w:r>
      <w:proofErr w:type="spellEnd"/>
      <w:r w:rsidRPr="00911BA7">
        <w:rPr>
          <w:rFonts w:eastAsiaTheme="minorHAnsi"/>
          <w:sz w:val="24"/>
          <w:szCs w:val="24"/>
          <w:lang w:eastAsia="en-US"/>
        </w:rPr>
        <w:t>.</w:t>
      </w:r>
    </w:p>
    <w:p w:rsidR="00911BA7" w:rsidRDefault="00911BA7" w:rsidP="00911BA7">
      <w:pPr>
        <w:spacing w:line="360" w:lineRule="auto"/>
        <w:jc w:val="both"/>
        <w:rPr>
          <w:sz w:val="24"/>
          <w:szCs w:val="24"/>
        </w:rPr>
      </w:pPr>
      <w:r>
        <w:rPr>
          <w:sz w:val="24"/>
          <w:szCs w:val="24"/>
        </w:rPr>
        <w:t xml:space="preserve">Dans ce mémoire, la méthodologie de simulation de MCMC est développée pour l’estimation des paramètres des deux modèles à espace d’état non gaussiens : le modèle à durée conditionnelle stochastique et le modèle à volatilité stochastique dans ses deux versions discrète et continue. La stratégie de simulation utilisée est la stratégie hybride (utilisation simultanée des algorithmes de </w:t>
      </w:r>
      <w:proofErr w:type="spellStart"/>
      <w:r>
        <w:rPr>
          <w:sz w:val="24"/>
          <w:szCs w:val="24"/>
        </w:rPr>
        <w:t>Metropolis</w:t>
      </w:r>
      <w:proofErr w:type="spellEnd"/>
      <w:r>
        <w:rPr>
          <w:sz w:val="24"/>
          <w:szCs w:val="24"/>
        </w:rPr>
        <w:t xml:space="preserve"> Hastings et Gibbs). Le vecteur d’états est simulé par bloc en appliquant l’algorithme du filtre de </w:t>
      </w:r>
      <w:proofErr w:type="spellStart"/>
      <w:r>
        <w:rPr>
          <w:sz w:val="24"/>
          <w:szCs w:val="24"/>
        </w:rPr>
        <w:t>Kalman</w:t>
      </w:r>
      <w:proofErr w:type="spellEnd"/>
      <w:r>
        <w:rPr>
          <w:sz w:val="24"/>
          <w:szCs w:val="24"/>
        </w:rPr>
        <w:t>. Plusieurs diagnostics de convergence sont mis en œuvre pour étudier la convergence de ces méthodes lorsque la taille des données et le nombre d’itérations varient. On montre que lorsque le nombre d’observations disponibles augmente la convergence est plus lente.</w:t>
      </w:r>
    </w:p>
    <w:p w:rsidR="00911BA7" w:rsidRDefault="00911BA7" w:rsidP="00911BA7">
      <w:pPr>
        <w:spacing w:line="360" w:lineRule="auto"/>
        <w:jc w:val="both"/>
        <w:rPr>
          <w:sz w:val="24"/>
          <w:szCs w:val="24"/>
        </w:rPr>
      </w:pPr>
    </w:p>
    <w:p w:rsidR="00911BA7" w:rsidRPr="006410C6" w:rsidRDefault="00911BA7" w:rsidP="00911BA7">
      <w:pPr>
        <w:spacing w:line="360" w:lineRule="auto"/>
        <w:jc w:val="both"/>
        <w:rPr>
          <w:b/>
          <w:sz w:val="24"/>
          <w:szCs w:val="24"/>
        </w:rPr>
      </w:pPr>
      <w:r w:rsidRPr="000D3E04">
        <w:rPr>
          <w:b/>
          <w:sz w:val="24"/>
          <w:szCs w:val="24"/>
        </w:rPr>
        <w:t xml:space="preserve">Mots clés : </w:t>
      </w:r>
      <w:r>
        <w:rPr>
          <w:sz w:val="24"/>
          <w:szCs w:val="24"/>
        </w:rPr>
        <w:t xml:space="preserve">Analyse </w:t>
      </w:r>
      <w:proofErr w:type="spellStart"/>
      <w:r>
        <w:rPr>
          <w:sz w:val="24"/>
          <w:szCs w:val="24"/>
        </w:rPr>
        <w:t>bayésienne</w:t>
      </w:r>
      <w:proofErr w:type="spellEnd"/>
      <w:r>
        <w:rPr>
          <w:sz w:val="24"/>
          <w:szCs w:val="24"/>
        </w:rPr>
        <w:t>, diagnostics de convergence,</w:t>
      </w:r>
      <w:r w:rsidRPr="000D3E04">
        <w:rPr>
          <w:b/>
          <w:sz w:val="24"/>
          <w:szCs w:val="24"/>
        </w:rPr>
        <w:t xml:space="preserve"> </w:t>
      </w:r>
      <w:r>
        <w:rPr>
          <w:b/>
          <w:sz w:val="24"/>
          <w:szCs w:val="24"/>
        </w:rPr>
        <w:t xml:space="preserve"> </w:t>
      </w:r>
      <w:r>
        <w:rPr>
          <w:sz w:val="24"/>
          <w:szCs w:val="24"/>
        </w:rPr>
        <w:t xml:space="preserve">modèle à durée conditionnelle stochastique, modèle à espace d’état, modèle à volatilité stochastique, Monte Carlo par </w:t>
      </w:r>
      <w:proofErr w:type="gramStart"/>
      <w:r>
        <w:rPr>
          <w:sz w:val="24"/>
          <w:szCs w:val="24"/>
        </w:rPr>
        <w:t>chaines</w:t>
      </w:r>
      <w:proofErr w:type="gramEnd"/>
      <w:r>
        <w:rPr>
          <w:sz w:val="24"/>
          <w:szCs w:val="24"/>
        </w:rPr>
        <w:t xml:space="preserve"> de Markov, processus de diffusion.</w:t>
      </w:r>
    </w:p>
    <w:p w:rsidR="00224C3A" w:rsidRDefault="00224C3A"/>
    <w:sectPr w:rsidR="00224C3A" w:rsidSect="00224C3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08"/>
  <w:hyphenationZone w:val="425"/>
  <w:characterSpacingControl w:val="doNotCompress"/>
  <w:compat/>
  <w:rsids>
    <w:rsidRoot w:val="00911BA7"/>
    <w:rsid w:val="00224C3A"/>
    <w:rsid w:val="00710C57"/>
    <w:rsid w:val="00911BA7"/>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1BA7"/>
    <w:pPr>
      <w:spacing w:after="0" w:line="240" w:lineRule="auto"/>
    </w:pPr>
    <w:rPr>
      <w:rFonts w:ascii="Times New Roman" w:eastAsia="Times New Roman" w:hAnsi="Times New Roman" w:cs="Times New Roman"/>
      <w:sz w:val="20"/>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191</Words>
  <Characters>1056</Characters>
  <Application>Microsoft Office Word</Application>
  <DocSecurity>0</DocSecurity>
  <Lines>8</Lines>
  <Paragraphs>2</Paragraphs>
  <ScaleCrop>false</ScaleCrop>
  <Company/>
  <LinksUpToDate>false</LinksUpToDate>
  <CharactersWithSpaces>1245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2013-03-17T21:15:00Z</dcterms:created>
  <dcterms:modified xsi:type="dcterms:W3CDTF">2013-03-17T21:21:00Z</dcterms:modified>
</cp:coreProperties>
</file>