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B82" w:rsidRDefault="00011B82" w:rsidP="00011B82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011B82">
        <w:rPr>
          <w:rFonts w:asciiTheme="majorBidi" w:hAnsiTheme="majorBidi" w:cstheme="majorBidi"/>
          <w:b/>
          <w:bCs/>
          <w:sz w:val="24"/>
          <w:szCs w:val="24"/>
        </w:rPr>
        <w:t>RESUME:</w:t>
      </w:r>
    </w:p>
    <w:p w:rsidR="00011B82" w:rsidRPr="00011B82" w:rsidRDefault="00011B82" w:rsidP="00011B82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:rsidR="00011B82" w:rsidRPr="00011B82" w:rsidRDefault="00011B82" w:rsidP="00011B82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</w:rPr>
      </w:pPr>
      <w:r w:rsidRPr="00011B82">
        <w:rPr>
          <w:rFonts w:asciiTheme="majorBidi" w:hAnsiTheme="majorBidi" w:cstheme="majorBidi"/>
        </w:rPr>
        <w:t>Dans la présente étude, l’adsorption des ions uranyles contenus dans une solution synthétique aqueuse a été effectuée dans le but d’évaluer le potentiel d’un déchet agricole très disponible en Algérie comme adsorbant. L’étu</w:t>
      </w:r>
      <w:r>
        <w:rPr>
          <w:rFonts w:asciiTheme="majorBidi" w:hAnsiTheme="majorBidi" w:cstheme="majorBidi"/>
        </w:rPr>
        <w:t xml:space="preserve">de paramétrique </w:t>
      </w:r>
      <w:r w:rsidRPr="00011B82">
        <w:rPr>
          <w:rFonts w:asciiTheme="majorBidi" w:hAnsiTheme="majorBidi" w:cstheme="majorBidi"/>
        </w:rPr>
        <w:t xml:space="preserve">a été réalisée en batch et à température ambiante, en utilisant la sciure de pin d’Alep brute et activée par </w:t>
      </w:r>
      <w:proofErr w:type="spellStart"/>
      <w:r w:rsidRPr="00011B82">
        <w:rPr>
          <w:rFonts w:asciiTheme="majorBidi" w:hAnsiTheme="majorBidi" w:cstheme="majorBidi"/>
        </w:rPr>
        <w:t>NaOH</w:t>
      </w:r>
      <w:proofErr w:type="spellEnd"/>
      <w:r w:rsidRPr="00011B82">
        <w:rPr>
          <w:rFonts w:asciiTheme="majorBidi" w:hAnsiTheme="majorBidi" w:cstheme="majorBidi"/>
        </w:rPr>
        <w:t xml:space="preserve"> comme adsorbants. Les données expérimentales de l’étude cinétique ont été modélisées à l'aide des équations de pseudo-premier</w:t>
      </w:r>
      <w:r>
        <w:rPr>
          <w:rFonts w:asciiTheme="majorBidi" w:hAnsiTheme="majorBidi" w:cstheme="majorBidi"/>
        </w:rPr>
        <w:t xml:space="preserve"> et </w:t>
      </w:r>
      <w:r w:rsidRPr="00011B82">
        <w:rPr>
          <w:rFonts w:asciiTheme="majorBidi" w:hAnsiTheme="majorBidi" w:cstheme="majorBidi"/>
        </w:rPr>
        <w:t>second ordre, et de la diffusion intra-particulaire. Les résultats obtenus montrent que le modèle de pseudo second ordre est le mieux ajusté aux données expérimentales et que la nature bi-phasique du tracé de la diffusion intra</w:t>
      </w:r>
      <w:r w:rsidR="00A620E7">
        <w:rPr>
          <w:rFonts w:asciiTheme="majorBidi" w:hAnsiTheme="majorBidi" w:cstheme="majorBidi"/>
        </w:rPr>
        <w:t>-</w:t>
      </w:r>
      <w:r w:rsidRPr="00011B82">
        <w:rPr>
          <w:rFonts w:asciiTheme="majorBidi" w:hAnsiTheme="majorBidi" w:cstheme="majorBidi"/>
        </w:rPr>
        <w:t>particulaire est une diffusion à travers un film suivie d’une diffusion dans les pores.</w:t>
      </w:r>
    </w:p>
    <w:p w:rsidR="005E6A3C" w:rsidRPr="00011B82" w:rsidRDefault="005E6A3C" w:rsidP="00011B82">
      <w:pPr>
        <w:rPr>
          <w:rFonts w:asciiTheme="majorBidi" w:hAnsiTheme="majorBidi" w:cstheme="majorBidi"/>
          <w:sz w:val="24"/>
          <w:szCs w:val="24"/>
        </w:rPr>
      </w:pPr>
    </w:p>
    <w:sectPr w:rsidR="005E6A3C" w:rsidRPr="00011B82" w:rsidSect="005E6A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011B82"/>
    <w:rsid w:val="00011B82"/>
    <w:rsid w:val="0008498E"/>
    <w:rsid w:val="005E6A3C"/>
    <w:rsid w:val="00A620E7"/>
    <w:rsid w:val="00EB6E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A3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124</Words>
  <Characters>684</Characters>
  <Application>Microsoft Office Word</Application>
  <DocSecurity>0</DocSecurity>
  <Lines>5</Lines>
  <Paragraphs>1</Paragraphs>
  <ScaleCrop>false</ScaleCrop>
  <Company>PhoeniXP</Company>
  <LinksUpToDate>false</LinksUpToDate>
  <CharactersWithSpaces>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lounis</dc:creator>
  <cp:lastModifiedBy>lounis</cp:lastModifiedBy>
  <cp:revision>2</cp:revision>
  <dcterms:created xsi:type="dcterms:W3CDTF">2016-05-30T09:29:00Z</dcterms:created>
  <dcterms:modified xsi:type="dcterms:W3CDTF">2016-05-30T13:30:00Z</dcterms:modified>
</cp:coreProperties>
</file>